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160" w:rsidRPr="00440960" w:rsidRDefault="00792871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-44.1pt;margin-top:-18.2pt;width:231.55pt;height:80.15pt;z-index:251655680;mso-width-relative:margin;mso-height-relative:margin" stroked="f" strokeweight="2.25pt">
            <v:stroke dashstyle="1 1" endcap="round"/>
            <v:textbox style="mso-next-textbox:#_x0000_s1035" inset="0,0,0,0">
              <w:txbxContent>
                <w:p w:rsidR="00631E32" w:rsidRPr="00DA6EC5" w:rsidRDefault="00F61F1E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l-GR"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31E32" w:rsidRPr="00DA6EC5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ΕΛΛΗΝΙΚΗ ΔΗΜΟΚΡΑΤΙΑ</w:t>
                  </w:r>
                </w:p>
                <w:p w:rsidR="00631E32" w:rsidRPr="00487A5D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ΥΠΟΥΡΓΕΙΟ</w:t>
                  </w:r>
                </w:p>
                <w:p w:rsidR="00631E32" w:rsidRPr="00DA6EC5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ΠΑΙΔΕΙΑΣ</w:t>
                  </w:r>
                  <w:r w:rsidRPr="00487A5D">
                    <w:rPr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ΕΡΕΥΝΑΣ</w:t>
                  </w:r>
                  <w:r w:rsidRPr="00487A5D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ΚΑΙ ΘΡΗΣΚΕΥΜΑΤΩΝ</w:t>
                  </w:r>
                </w:p>
                <w:p w:rsidR="00631E32" w:rsidRPr="00DA6EC5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</w:p>
    <w:p w:rsidR="004C61D0" w:rsidRPr="00440960" w:rsidRDefault="004C61D0" w:rsidP="004C61D0">
      <w:pPr>
        <w:framePr w:w="3225" w:h="1714" w:hSpace="181" w:wrap="around" w:vAnchor="text" w:hAnchor="page" w:x="7343" w:y="162"/>
        <w:spacing w:after="0" w:line="240" w:lineRule="auto"/>
        <w:rPr>
          <w:rFonts w:ascii="Arial" w:hAnsi="Arial" w:cs="Arial"/>
          <w:sz w:val="20"/>
          <w:szCs w:val="20"/>
        </w:rPr>
      </w:pPr>
      <w:r w:rsidRPr="00440960">
        <w:rPr>
          <w:rFonts w:ascii="Arial" w:hAnsi="Arial" w:cs="Arial"/>
          <w:sz w:val="20"/>
          <w:szCs w:val="20"/>
        </w:rPr>
        <w:t>Βαθμός Ασφαλείας:</w:t>
      </w:r>
    </w:p>
    <w:p w:rsidR="004C61D0" w:rsidRPr="00440960" w:rsidRDefault="004C61D0" w:rsidP="004C61D0">
      <w:pPr>
        <w:framePr w:w="3225" w:h="1714" w:hSpace="181" w:wrap="around" w:vAnchor="text" w:hAnchor="page" w:x="7343" w:y="162"/>
        <w:spacing w:after="0" w:line="240" w:lineRule="auto"/>
        <w:rPr>
          <w:rFonts w:ascii="Arial" w:hAnsi="Arial" w:cs="Arial"/>
          <w:sz w:val="20"/>
          <w:szCs w:val="20"/>
        </w:rPr>
      </w:pPr>
      <w:r w:rsidRPr="00440960">
        <w:rPr>
          <w:rFonts w:ascii="Arial" w:hAnsi="Arial" w:cs="Arial"/>
          <w:sz w:val="20"/>
          <w:szCs w:val="20"/>
        </w:rPr>
        <w:t>Να διατηρηθεί μέχρι:</w:t>
      </w:r>
    </w:p>
    <w:p w:rsidR="004C61D0" w:rsidRPr="00440960" w:rsidRDefault="004C61D0" w:rsidP="004C61D0">
      <w:pPr>
        <w:framePr w:w="3225" w:h="1714" w:hSpace="181" w:wrap="around" w:vAnchor="text" w:hAnchor="page" w:x="7343" w:y="162"/>
        <w:spacing w:after="0" w:line="240" w:lineRule="auto"/>
        <w:rPr>
          <w:rFonts w:ascii="Arial" w:hAnsi="Arial" w:cs="Arial"/>
          <w:sz w:val="20"/>
          <w:szCs w:val="20"/>
        </w:rPr>
      </w:pPr>
      <w:r w:rsidRPr="00440960">
        <w:rPr>
          <w:rFonts w:ascii="Arial" w:hAnsi="Arial" w:cs="Arial"/>
          <w:sz w:val="20"/>
          <w:szCs w:val="20"/>
        </w:rPr>
        <w:t xml:space="preserve">Βαθ. Προτεραιότητας: </w:t>
      </w:r>
    </w:p>
    <w:p w:rsidR="004C61D0" w:rsidRPr="00440960" w:rsidRDefault="004C61D0" w:rsidP="004C61D0">
      <w:pPr>
        <w:framePr w:w="3225" w:h="1714" w:hSpace="181" w:wrap="around" w:vAnchor="text" w:hAnchor="page" w:x="7343" w:y="162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C61D0" w:rsidRPr="00440960" w:rsidRDefault="004C61D0" w:rsidP="004C61D0">
      <w:pPr>
        <w:framePr w:w="3225" w:h="1714" w:hSpace="181" w:wrap="around" w:vAnchor="text" w:hAnchor="page" w:x="7343" w:y="16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0960">
        <w:rPr>
          <w:rFonts w:ascii="Arial" w:hAnsi="Arial" w:cs="Arial"/>
          <w:b/>
          <w:sz w:val="20"/>
          <w:szCs w:val="20"/>
        </w:rPr>
        <w:t xml:space="preserve">Αθήνα,       </w:t>
      </w:r>
      <w:r w:rsidR="0056614A" w:rsidRPr="00487A5D">
        <w:rPr>
          <w:rFonts w:ascii="Arial" w:hAnsi="Arial" w:cs="Arial"/>
          <w:b/>
          <w:sz w:val="20"/>
          <w:szCs w:val="20"/>
        </w:rPr>
        <w:t xml:space="preserve">      </w:t>
      </w:r>
      <w:r w:rsidRPr="00440960">
        <w:rPr>
          <w:rFonts w:ascii="Arial" w:hAnsi="Arial" w:cs="Arial"/>
          <w:b/>
          <w:sz w:val="20"/>
          <w:szCs w:val="20"/>
        </w:rPr>
        <w:t xml:space="preserve">  </w:t>
      </w:r>
      <w:r w:rsidR="0056614A" w:rsidRPr="00487A5D">
        <w:rPr>
          <w:rFonts w:ascii="Arial" w:hAnsi="Arial" w:cs="Arial"/>
          <w:b/>
          <w:sz w:val="20"/>
          <w:szCs w:val="20"/>
        </w:rPr>
        <w:t>02</w:t>
      </w:r>
      <w:r w:rsidRPr="00440960">
        <w:rPr>
          <w:rFonts w:ascii="Arial" w:hAnsi="Arial" w:cs="Arial"/>
          <w:b/>
          <w:sz w:val="20"/>
          <w:szCs w:val="20"/>
        </w:rPr>
        <w:t>-1</w:t>
      </w:r>
      <w:r w:rsidR="0056614A" w:rsidRPr="00487A5D">
        <w:rPr>
          <w:rFonts w:ascii="Arial" w:hAnsi="Arial" w:cs="Arial"/>
          <w:b/>
          <w:sz w:val="20"/>
          <w:szCs w:val="20"/>
        </w:rPr>
        <w:t>2</w:t>
      </w:r>
      <w:r w:rsidRPr="00440960">
        <w:rPr>
          <w:rFonts w:ascii="Arial" w:hAnsi="Arial" w:cs="Arial"/>
          <w:b/>
          <w:sz w:val="20"/>
          <w:szCs w:val="20"/>
        </w:rPr>
        <w:t>-2015</w:t>
      </w:r>
    </w:p>
    <w:p w:rsidR="004C61D0" w:rsidRPr="00440960" w:rsidRDefault="004C61D0" w:rsidP="004C61D0">
      <w:pPr>
        <w:framePr w:w="3225" w:h="1714" w:hSpace="181" w:wrap="around" w:vAnchor="text" w:hAnchor="page" w:x="7343" w:y="162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40960">
        <w:rPr>
          <w:rFonts w:ascii="Arial" w:hAnsi="Arial" w:cs="Arial"/>
          <w:b/>
          <w:sz w:val="20"/>
          <w:szCs w:val="20"/>
        </w:rPr>
        <w:t xml:space="preserve">Αρ. Πρωτ.          </w:t>
      </w:r>
      <w:r w:rsidR="0056614A">
        <w:rPr>
          <w:rFonts w:ascii="Arial" w:hAnsi="Arial" w:cs="Arial"/>
          <w:b/>
          <w:sz w:val="20"/>
          <w:szCs w:val="20"/>
          <w:lang w:val="en-US"/>
        </w:rPr>
        <w:t>195566</w:t>
      </w:r>
      <w:r w:rsidRPr="00440960">
        <w:rPr>
          <w:rFonts w:ascii="Arial" w:hAnsi="Arial" w:cs="Arial"/>
          <w:b/>
          <w:sz w:val="20"/>
          <w:szCs w:val="20"/>
        </w:rPr>
        <w:t>/Δ2</w:t>
      </w:r>
    </w:p>
    <w:p w:rsidR="00A41160" w:rsidRPr="00440960" w:rsidRDefault="00A41160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792871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  <w:noProof/>
          <w:lang w:eastAsia="el-GR"/>
        </w:rPr>
        <w:pict>
          <v:shape id="_x0000_s1036" type="#_x0000_t202" style="position:absolute;left:0;text-align:left;margin-left:-48.8pt;margin-top:9.55pt;width:229.4pt;height:69.15pt;z-index:251656704;mso-width-relative:margin;mso-height-relative:margin" stroked="f" strokeweight="2.25pt">
            <v:stroke dashstyle="1 1" endcap="round"/>
            <v:textbox style="mso-next-textbox:#_x0000_s1036">
              <w:txbxContent>
                <w:p w:rsidR="00631E32" w:rsidRPr="004C312F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ΓΕΝΙΚΗ ΔΙΕΥΘΥΝΣΗ ΣΠΟΥΔΩΝ</w:t>
                  </w:r>
                </w:p>
                <w:p w:rsidR="00631E32" w:rsidRPr="004C312F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Π/ΘΜΙΑΣ ΚΑΙ Δ/ΘΜΙΑΣ ΕΚΠΑΙΔΕΥΣΗΣ</w:t>
                  </w:r>
                </w:p>
                <w:p w:rsidR="00631E32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ΔΙΕ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ΥΘΥΝΣΗ ΣΠΟΥΔΩΝ, ΠΡΟΓΡΑΜΜΑΤΩΝ</w:t>
                  </w:r>
                </w:p>
                <w:p w:rsidR="00631E32" w:rsidRPr="004C312F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ΚΑΙ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ΟΡΓΑΝΩΣΗΣ Δ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/ΘΜΙΑΣ ΕΚΠ/</w:t>
                  </w: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ΣΗΣ</w:t>
                  </w:r>
                </w:p>
                <w:p w:rsidR="00631E32" w:rsidRPr="004C312F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C312F">
                    <w:rPr>
                      <w:rFonts w:ascii="Arial" w:hAnsi="Arial" w:cs="Arial"/>
                      <w:sz w:val="20"/>
                      <w:szCs w:val="20"/>
                    </w:rPr>
                    <w:t>ΤΜΗΜΑ Α΄</w:t>
                  </w:r>
                </w:p>
                <w:p w:rsidR="00631E32" w:rsidRPr="00DD0FB4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31E32" w:rsidRPr="00DD0FB4" w:rsidRDefault="00631E32" w:rsidP="00DA6EC5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631E32" w:rsidRPr="00405B73" w:rsidRDefault="00631E32" w:rsidP="00DA6EC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A6EC5" w:rsidRPr="00440960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4C61D0" w:rsidRPr="00440960" w:rsidRDefault="004C61D0" w:rsidP="004C61D0">
      <w:pPr>
        <w:framePr w:w="3706" w:h="1604" w:hSpace="180" w:wrap="auto" w:vAnchor="text" w:hAnchor="page" w:x="6953" w:y="12"/>
        <w:numPr>
          <w:ilvl w:val="0"/>
          <w:numId w:val="8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440960">
        <w:rPr>
          <w:rFonts w:ascii="Arial" w:hAnsi="Arial"/>
          <w:b/>
          <w:sz w:val="20"/>
          <w:szCs w:val="20"/>
        </w:rPr>
        <w:t>Περιφερειακές Δ/νσεις Εκπ/σης</w:t>
      </w:r>
    </w:p>
    <w:p w:rsidR="004C61D0" w:rsidRPr="00440960" w:rsidRDefault="004C61D0" w:rsidP="004C61D0">
      <w:pPr>
        <w:framePr w:w="3706" w:h="1604" w:hSpace="180" w:wrap="auto" w:vAnchor="text" w:hAnchor="page" w:x="6953" w:y="12"/>
        <w:numPr>
          <w:ilvl w:val="0"/>
          <w:numId w:val="8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440960">
        <w:rPr>
          <w:rFonts w:ascii="Arial" w:hAnsi="Arial"/>
          <w:b/>
          <w:sz w:val="20"/>
          <w:szCs w:val="20"/>
        </w:rPr>
        <w:t>Σχολ. Συμβούλους Δ.Ε. (μέσω των Περιφερειακών Δ/νσεων Εκπ/σης)</w:t>
      </w:r>
    </w:p>
    <w:p w:rsidR="004C61D0" w:rsidRPr="00440960" w:rsidRDefault="004C61D0" w:rsidP="004C61D0">
      <w:pPr>
        <w:framePr w:w="3706" w:h="1604" w:hSpace="180" w:wrap="auto" w:vAnchor="text" w:hAnchor="page" w:x="6953" w:y="12"/>
        <w:numPr>
          <w:ilvl w:val="0"/>
          <w:numId w:val="8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440960">
        <w:rPr>
          <w:rFonts w:ascii="Arial" w:hAnsi="Arial"/>
          <w:b/>
          <w:sz w:val="20"/>
          <w:szCs w:val="20"/>
        </w:rPr>
        <w:t>Δ/νσεις Δ/θμιας Εκπ/σης</w:t>
      </w:r>
    </w:p>
    <w:p w:rsidR="004C61D0" w:rsidRPr="00440960" w:rsidRDefault="004C61D0" w:rsidP="004C61D0">
      <w:pPr>
        <w:framePr w:w="3706" w:h="1604" w:hSpace="180" w:wrap="auto" w:vAnchor="text" w:hAnchor="page" w:x="6953" w:y="12"/>
        <w:numPr>
          <w:ilvl w:val="0"/>
          <w:numId w:val="8"/>
        </w:num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pacing w:after="0" w:line="240" w:lineRule="auto"/>
        <w:ind w:left="284" w:hanging="284"/>
        <w:rPr>
          <w:rFonts w:ascii="Arial" w:hAnsi="Arial"/>
          <w:b/>
          <w:sz w:val="20"/>
          <w:szCs w:val="20"/>
        </w:rPr>
      </w:pPr>
      <w:r w:rsidRPr="00440960">
        <w:rPr>
          <w:rFonts w:ascii="Arial" w:hAnsi="Arial"/>
          <w:b/>
          <w:sz w:val="20"/>
          <w:szCs w:val="20"/>
        </w:rPr>
        <w:t>Γενικά Λύκεια (μέσω των Δ/νσεων Δ/θμιας Εκπ/σης)</w:t>
      </w:r>
    </w:p>
    <w:p w:rsidR="00DA6EC5" w:rsidRPr="00440960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4C61D0" w:rsidRPr="00440960" w:rsidRDefault="004C61D0" w:rsidP="004C61D0">
      <w:pPr>
        <w:framePr w:w="833" w:h="270" w:hSpace="180" w:wrap="around" w:vAnchor="text" w:hAnchor="page" w:x="5988" w:y="63"/>
        <w:rPr>
          <w:rFonts w:ascii="Arial" w:hAnsi="Arial"/>
          <w:b/>
          <w:sz w:val="20"/>
          <w:szCs w:val="20"/>
        </w:rPr>
      </w:pPr>
      <w:r w:rsidRPr="00440960">
        <w:rPr>
          <w:rFonts w:ascii="Arial" w:hAnsi="Arial"/>
          <w:b/>
          <w:sz w:val="20"/>
          <w:szCs w:val="20"/>
        </w:rPr>
        <w:t>ΠΡΟΣ:</w:t>
      </w:r>
    </w:p>
    <w:p w:rsidR="00DA6EC5" w:rsidRPr="00440960" w:rsidRDefault="00792871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  <w:noProof/>
          <w:lang w:eastAsia="el-GR"/>
        </w:rPr>
        <w:pict>
          <v:shape id="_x0000_s1037" type="#_x0000_t202" style="position:absolute;left:0;text-align:left;margin-left:-29.7pt;margin-top:7.5pt;width:201.75pt;height:80.3pt;z-index:251657728;mso-width-relative:margin;mso-height-relative:margin" stroked="f" strokeweight="2.25pt">
            <v:stroke dashstyle="1 1" endcap="round"/>
            <v:textbox style="mso-next-textbox:#_x0000_s1037">
              <w:txbxContent>
                <w:p w:rsidR="00631E32" w:rsidRPr="00DA6EC5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  <w:p w:rsidR="00631E32" w:rsidRPr="00DA6EC5" w:rsidRDefault="00631E32" w:rsidP="00DA6EC5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 xml:space="preserve">Ταχ. Δ/νση: 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ab/>
                    <w:t>Ανδρέα Παπανδρέου 37</w:t>
                  </w:r>
                </w:p>
                <w:p w:rsidR="00631E32" w:rsidRPr="00DA6EC5" w:rsidRDefault="00631E32" w:rsidP="00DA6EC5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>Τ.Κ. – Πόλη: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ab/>
                    <w:t>15180 Μαρούσι</w:t>
                  </w:r>
                </w:p>
                <w:p w:rsidR="00631E32" w:rsidRPr="00DA6EC5" w:rsidRDefault="00631E32" w:rsidP="00DA6EC5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 xml:space="preserve">Ιστοσελίδα: </w:t>
                  </w:r>
                  <w:hyperlink r:id="rId9" w:history="1"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www</w:t>
                    </w:r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minedu</w:t>
                    </w:r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gov</w:t>
                    </w:r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</w:rPr>
                      <w:t>.</w:t>
                    </w:r>
                    <w:r w:rsidRPr="00DA6EC5">
                      <w:rPr>
                        <w:rStyle w:val="-"/>
                        <w:rFonts w:ascii="Arial" w:hAnsi="Arial" w:cs="Arial"/>
                        <w:sz w:val="20"/>
                        <w:szCs w:val="20"/>
                        <w:lang w:val="en-US"/>
                      </w:rPr>
                      <w:t>gr</w:t>
                    </w:r>
                  </w:hyperlink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631E32" w:rsidRPr="00DA6EC5" w:rsidRDefault="00631E32" w:rsidP="00DA6EC5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 xml:space="preserve">Πληροφορίες: 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ab/>
                    <w:t>Αν. Πασχαλίδου</w:t>
                  </w:r>
                </w:p>
                <w:p w:rsidR="00631E32" w:rsidRPr="00DA6EC5" w:rsidRDefault="00631E32" w:rsidP="00DA6EC5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 xml:space="preserve">Τηλέφωνο: </w:t>
                  </w:r>
                  <w:r w:rsidRPr="00DA6EC5">
                    <w:rPr>
                      <w:rFonts w:ascii="Arial" w:hAnsi="Arial" w:cs="Arial"/>
                      <w:sz w:val="20"/>
                      <w:szCs w:val="20"/>
                    </w:rPr>
                    <w:tab/>
                    <w:t>210-3443422</w:t>
                  </w:r>
                </w:p>
                <w:p w:rsidR="00631E32" w:rsidRPr="00DA6EC5" w:rsidRDefault="00631E32" w:rsidP="00DA6EC5">
                  <w:pPr>
                    <w:tabs>
                      <w:tab w:val="left" w:pos="1276"/>
                    </w:tabs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A6EC5" w:rsidRPr="00440960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792871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  <w:noProof/>
          <w:lang w:eastAsia="el-GR"/>
        </w:rPr>
        <w:pict>
          <v:shape id="_x0000_s1038" type="#_x0000_t202" style="position:absolute;left:0;text-align:left;margin-left:264.55pt;margin-top:8.15pt;width:158.65pt;height:61.25pt;z-index:251658752" stroked="f">
            <v:textbox style="mso-next-textbox:#_x0000_s1038">
              <w:txbxContent>
                <w:p w:rsidR="00631E32" w:rsidRPr="00862F39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62F39">
                    <w:rPr>
                      <w:rFonts w:ascii="Arial" w:hAnsi="Arial"/>
                      <w:b/>
                      <w:sz w:val="20"/>
                      <w:szCs w:val="20"/>
                    </w:rPr>
                    <w:t>Ινστιτούτο Εκπαιδευτικής</w:t>
                  </w:r>
                </w:p>
                <w:p w:rsidR="00631E32" w:rsidRPr="00862F39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62F39">
                    <w:rPr>
                      <w:rFonts w:ascii="Arial" w:hAnsi="Arial"/>
                      <w:b/>
                      <w:sz w:val="20"/>
                      <w:szCs w:val="20"/>
                    </w:rPr>
                    <w:t>Πολιτικής</w:t>
                  </w:r>
                </w:p>
                <w:p w:rsidR="00631E32" w:rsidRPr="00862F39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62F39">
                    <w:rPr>
                      <w:rFonts w:ascii="Arial" w:hAnsi="Arial"/>
                      <w:b/>
                      <w:sz w:val="20"/>
                      <w:szCs w:val="20"/>
                    </w:rPr>
                    <w:t>Αν. Τσόχα 36</w:t>
                  </w:r>
                </w:p>
                <w:p w:rsidR="00631E32" w:rsidRPr="00862F39" w:rsidRDefault="00631E32" w:rsidP="00DA6EC5">
                  <w:pPr>
                    <w:spacing w:after="0" w:line="240" w:lineRule="auto"/>
                    <w:jc w:val="center"/>
                    <w:rPr>
                      <w:rFonts w:ascii="Arial" w:hAnsi="Arial"/>
                      <w:b/>
                      <w:sz w:val="20"/>
                      <w:szCs w:val="20"/>
                    </w:rPr>
                  </w:pPr>
                  <w:r w:rsidRPr="00862F39">
                    <w:rPr>
                      <w:rFonts w:ascii="Arial" w:hAnsi="Arial"/>
                      <w:b/>
                      <w:sz w:val="20"/>
                      <w:szCs w:val="20"/>
                    </w:rPr>
                    <w:t>11521 Αθήνα</w:t>
                  </w:r>
                </w:p>
              </w:txbxContent>
            </v:textbox>
          </v:shape>
        </w:pict>
      </w:r>
    </w:p>
    <w:p w:rsidR="00DA6EC5" w:rsidRPr="00440960" w:rsidRDefault="00792871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  <w:noProof/>
          <w:lang w:eastAsia="el-GR"/>
        </w:rPr>
        <w:pict>
          <v:shape id="_x0000_s1039" type="#_x0000_t202" style="position:absolute;left:0;text-align:left;margin-left:202.7pt;margin-top:11.9pt;width:53.3pt;height:17.95pt;z-index:251659776" stroked="f">
            <v:textbox style="mso-next-textbox:#_x0000_s1039">
              <w:txbxContent>
                <w:p w:rsidR="00631E32" w:rsidRPr="00045692" w:rsidRDefault="00631E32" w:rsidP="00DA6EC5">
                  <w:pPr>
                    <w:pStyle w:val="8"/>
                    <w:spacing w:before="0" w:after="0" w:line="240" w:lineRule="auto"/>
                    <w:jc w:val="center"/>
                    <w:rPr>
                      <w:rFonts w:ascii="Arial" w:hAnsi="Arial" w:cs="Arial"/>
                      <w:i w:val="0"/>
                      <w:sz w:val="20"/>
                      <w:szCs w:val="20"/>
                      <w:lang w:val="en-US"/>
                    </w:rPr>
                  </w:pPr>
                  <w:r w:rsidRPr="00045692">
                    <w:rPr>
                      <w:rFonts w:ascii="Arial" w:hAnsi="Arial" w:cs="Arial"/>
                      <w:b/>
                      <w:i w:val="0"/>
                      <w:sz w:val="20"/>
                      <w:szCs w:val="20"/>
                    </w:rPr>
                    <w:t>ΚΟΙΝ.:</w:t>
                  </w:r>
                </w:p>
              </w:txbxContent>
            </v:textbox>
          </v:shape>
        </w:pict>
      </w:r>
    </w:p>
    <w:p w:rsidR="00DA6EC5" w:rsidRPr="00440960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DA6EC5" w:rsidP="00F931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DA6EC5" w:rsidP="00F931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DA6EC5" w:rsidP="00F931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1368A" w:rsidRPr="00440960" w:rsidRDefault="00D1368A" w:rsidP="00F931A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DA6EC5" w:rsidRPr="00440960" w:rsidRDefault="00DA6EC5" w:rsidP="00DA6EC5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113563" w:rsidRPr="00440960" w:rsidRDefault="00113563" w:rsidP="00113563">
      <w:pPr>
        <w:jc w:val="both"/>
        <w:rPr>
          <w:b/>
        </w:rPr>
      </w:pPr>
      <w:r w:rsidRPr="00440960">
        <w:rPr>
          <w:b/>
        </w:rPr>
        <w:t>ΘΕΜΑ: Διαχείριση διδακτέας - εξεταστέας ύλης της Χημείας Γ΄ τάξης Ημερήσιου Γενικού Λυκείου Ομάδας Προσανατολισμού Θετικών Σπουδών για το σχολικό έτος 2015 – 2016</w:t>
      </w:r>
    </w:p>
    <w:p w:rsidR="00113563" w:rsidRPr="00440960" w:rsidRDefault="00113563" w:rsidP="00113563">
      <w:pPr>
        <w:jc w:val="both"/>
      </w:pPr>
      <w:r w:rsidRPr="00440960">
        <w:t xml:space="preserve">Μετά από σχετική εισήγηση του Ινστιτούτου Εκπαιδευτικής Πολιτικής (πράξη 49/06-10-2015 Δ.Σ) σας αποστέλλουμε τις παρακάτω οδηγίες για τη διδασκαλία της Χημείας της Γ΄ τάξης Ημερήσιου Γενικού Λυκείου Ομάδας Προσανατολισμού Θετικών Σπουδών για το σχολικό έτος 2015- 2016.  </w:t>
      </w:r>
    </w:p>
    <w:p w:rsidR="00113563" w:rsidRPr="00440960" w:rsidRDefault="00113563" w:rsidP="00113563">
      <w:pPr>
        <w:keepNext/>
        <w:widowControl w:val="0"/>
        <w:spacing w:after="0"/>
        <w:jc w:val="center"/>
        <w:rPr>
          <w:rFonts w:eastAsia="Times New Roman"/>
          <w:b/>
          <w:sz w:val="24"/>
          <w:szCs w:val="24"/>
        </w:rPr>
      </w:pPr>
      <w:r w:rsidRPr="00440960">
        <w:rPr>
          <w:rFonts w:eastAsia="Times New Roman"/>
          <w:b/>
          <w:sz w:val="24"/>
          <w:szCs w:val="24"/>
        </w:rPr>
        <w:t xml:space="preserve">ΧΗΜΕΙΑ </w:t>
      </w:r>
      <w:r w:rsidRPr="00440960">
        <w:rPr>
          <w:b/>
        </w:rPr>
        <w:t>ΟΜΑΔΑΣ ΠΡΟΣΑΝΑΤΟΛΙΣΜΟΥ ΘΕΤΙΚΩΝ ΣΠΟΥΔΩΝ</w:t>
      </w:r>
    </w:p>
    <w:p w:rsidR="00113563" w:rsidRPr="00440960" w:rsidRDefault="00113563" w:rsidP="00113563">
      <w:pPr>
        <w:keepNext/>
        <w:widowControl w:val="0"/>
        <w:spacing w:after="0"/>
        <w:jc w:val="center"/>
        <w:rPr>
          <w:rFonts w:eastAsia="Times New Roman"/>
          <w:b/>
          <w:sz w:val="24"/>
          <w:szCs w:val="24"/>
        </w:rPr>
      </w:pPr>
      <w:r w:rsidRPr="00440960">
        <w:rPr>
          <w:rFonts w:eastAsia="Times New Roman"/>
          <w:b/>
          <w:sz w:val="24"/>
          <w:szCs w:val="24"/>
        </w:rPr>
        <w:t>Γ΄ ΤΑΞΗ ΗΜΕΡΗΣΙΟΥ ΓΕΝΙΚΟΥ ΛΥΚΕΙΟΥ</w:t>
      </w:r>
    </w:p>
    <w:p w:rsidR="00113563" w:rsidRPr="00440960" w:rsidRDefault="00113563" w:rsidP="00113563">
      <w:pPr>
        <w:spacing w:after="0"/>
        <w:jc w:val="both"/>
        <w:rPr>
          <w:b/>
        </w:rPr>
      </w:pPr>
    </w:p>
    <w:p w:rsidR="00113563" w:rsidRPr="00440960" w:rsidRDefault="00113563" w:rsidP="00113563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  <w:r w:rsidRPr="00440960">
        <w:rPr>
          <w:rFonts w:eastAsia="Times New Roman"/>
          <w:sz w:val="24"/>
          <w:szCs w:val="24"/>
          <w:lang w:eastAsia="el-GR"/>
        </w:rPr>
        <w:t>Από το βιβλίο «</w:t>
      </w:r>
      <w:r w:rsidRPr="00440960">
        <w:rPr>
          <w:rFonts w:eastAsia="Times New Roman"/>
          <w:b/>
          <w:sz w:val="24"/>
          <w:szCs w:val="24"/>
          <w:lang w:eastAsia="el-GR"/>
        </w:rPr>
        <w:t>Χημεία</w:t>
      </w:r>
      <w:r w:rsidRPr="00440960">
        <w:rPr>
          <w:rFonts w:eastAsia="Times New Roman"/>
          <w:sz w:val="24"/>
          <w:szCs w:val="24"/>
          <w:lang w:eastAsia="el-GR"/>
        </w:rPr>
        <w:t xml:space="preserve">» </w:t>
      </w:r>
      <w:r w:rsidRPr="00440960">
        <w:rPr>
          <w:rFonts w:eastAsia="Times New Roman"/>
          <w:b/>
          <w:sz w:val="24"/>
          <w:szCs w:val="24"/>
          <w:lang w:eastAsia="el-GR"/>
        </w:rPr>
        <w:t xml:space="preserve">Γ΄ Γενικού Λυκείου Ομάδας Προσανατολισμού Θετικών Σπουδών </w:t>
      </w:r>
      <w:r w:rsidRPr="00440960">
        <w:rPr>
          <w:rFonts w:eastAsia="Times New Roman"/>
          <w:sz w:val="24"/>
          <w:szCs w:val="24"/>
          <w:lang w:eastAsia="el-GR"/>
        </w:rPr>
        <w:t>των Σ. Λιοδάκη, Δ. Γάκη κ. ά. έκδοση (Ι.Τ.Υ.Ε.) «Διόφαντος», 2015.</w:t>
      </w:r>
    </w:p>
    <w:p w:rsidR="00113563" w:rsidRPr="00440960" w:rsidRDefault="00113563" w:rsidP="00113563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</w:p>
    <w:p w:rsidR="00113563" w:rsidRPr="00440960" w:rsidRDefault="00113563" w:rsidP="0011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3"/>
        <w:rPr>
          <w:rFonts w:eastAsia="Times New Roman"/>
          <w:bCs/>
          <w:sz w:val="24"/>
          <w:szCs w:val="24"/>
          <w:lang w:eastAsia="el-GR"/>
        </w:rPr>
      </w:pPr>
      <w:r w:rsidRPr="00440960">
        <w:rPr>
          <w:rFonts w:eastAsia="Times New Roman"/>
          <w:b/>
          <w:bCs/>
          <w:sz w:val="24"/>
          <w:szCs w:val="24"/>
          <w:lang w:eastAsia="el-GR"/>
        </w:rPr>
        <w:t>Κεφάλαιο 1. «ΟΞΕΙΔΟΑΝΑΓΩΓΗ – ΗΛΕΚΤΡΟΛΥΣΗ» (</w:t>
      </w:r>
      <w:r w:rsidRPr="00440960">
        <w:rPr>
          <w:rFonts w:eastAsia="Times New Roman"/>
          <w:bCs/>
          <w:sz w:val="24"/>
          <w:szCs w:val="24"/>
          <w:lang w:eastAsia="el-GR"/>
        </w:rPr>
        <w:t>6 ώρες)</w:t>
      </w:r>
    </w:p>
    <w:p w:rsidR="00113563" w:rsidRPr="00440960" w:rsidRDefault="00113563" w:rsidP="00113563">
      <w:pPr>
        <w:spacing w:after="0"/>
        <w:rPr>
          <w:rFonts w:eastAsia="Times New Roman"/>
          <w:sz w:val="24"/>
          <w:szCs w:val="24"/>
          <w:lang w:eastAsia="el-GR"/>
        </w:rPr>
      </w:pPr>
    </w:p>
    <w:p w:rsidR="00113563" w:rsidRPr="00440960" w:rsidRDefault="00113563" w:rsidP="00113563">
      <w:pPr>
        <w:spacing w:after="0"/>
        <w:rPr>
          <w:rFonts w:eastAsia="Times New Roman"/>
          <w:b/>
          <w:sz w:val="24"/>
          <w:szCs w:val="24"/>
          <w:lang w:eastAsia="el-GR"/>
        </w:rPr>
      </w:pPr>
      <w:r w:rsidRPr="00440960">
        <w:rPr>
          <w:rFonts w:eastAsia="Times New Roman"/>
          <w:b/>
          <w:sz w:val="24"/>
          <w:szCs w:val="24"/>
          <w:lang w:eastAsia="el-GR"/>
        </w:rPr>
        <w:t>Να διδαχθούν:</w:t>
      </w:r>
    </w:p>
    <w:p w:rsidR="00113563" w:rsidRPr="00440960" w:rsidRDefault="00113563" w:rsidP="00113563">
      <w:pPr>
        <w:spacing w:after="0"/>
        <w:jc w:val="both"/>
        <w:rPr>
          <w:rFonts w:eastAsia="Times New Roman"/>
          <w:b/>
          <w:sz w:val="24"/>
          <w:szCs w:val="24"/>
          <w:lang w:eastAsia="el-GR"/>
        </w:rPr>
      </w:pPr>
      <w:r w:rsidRPr="00440960">
        <w:rPr>
          <w:rFonts w:eastAsia="Times New Roman"/>
          <w:b/>
          <w:sz w:val="24"/>
          <w:szCs w:val="24"/>
          <w:lang w:eastAsia="el-GR"/>
        </w:rPr>
        <w:t xml:space="preserve">Η </w:t>
      </w:r>
      <w:r w:rsidRPr="00440960">
        <w:rPr>
          <w:rFonts w:eastAsia="Times New Roman" w:cs="JasmineUPC"/>
          <w:b/>
          <w:sz w:val="24"/>
          <w:szCs w:val="24"/>
          <w:lang w:eastAsia="el-GR"/>
        </w:rPr>
        <w:t>§</w:t>
      </w:r>
      <w:r w:rsidRPr="00440960">
        <w:rPr>
          <w:rFonts w:eastAsia="Times New Roman"/>
          <w:b/>
          <w:sz w:val="24"/>
          <w:szCs w:val="24"/>
          <w:lang w:eastAsia="el-GR"/>
        </w:rPr>
        <w:t>1.1. «Αριθμός οξείδωσης. Οξείδωση – Αναγωγή»</w:t>
      </w:r>
    </w:p>
    <w:p w:rsidR="00113563" w:rsidRPr="00440960" w:rsidRDefault="00113563" w:rsidP="00113563">
      <w:pPr>
        <w:spacing w:after="120"/>
        <w:jc w:val="both"/>
      </w:pPr>
      <w:r w:rsidRPr="00440960">
        <w:rPr>
          <w:b/>
        </w:rPr>
        <w:t>Κατά τη διδασκαλία της παραγράφου προτείνεται</w:t>
      </w:r>
      <w:r w:rsidRPr="00440960">
        <w:t xml:space="preserve"> να δοθεί έμφαση  στον υπολογισμό του αριθμού οξείδωσης ενός στοιχείου σε μία χημική ένωση και στη διάκριση οξείδωσης – αναγωγής.</w:t>
      </w:r>
    </w:p>
    <w:p w:rsidR="00113563" w:rsidRPr="00440960" w:rsidRDefault="00113563" w:rsidP="00113563">
      <w:pPr>
        <w:spacing w:before="120" w:after="240"/>
        <w:jc w:val="both"/>
      </w:pPr>
      <w:r w:rsidRPr="00440960">
        <w:rPr>
          <w:b/>
        </w:rPr>
        <w:t>Από τις ασκήσεις – προβλήματα να διδαχθούν</w:t>
      </w:r>
      <w:r w:rsidRPr="00440960">
        <w:t>:  13, 14, 21, 22 και 29</w:t>
      </w:r>
    </w:p>
    <w:p w:rsidR="00113563" w:rsidRPr="00440960" w:rsidRDefault="00113563" w:rsidP="00113563">
      <w:pPr>
        <w:spacing w:before="120" w:after="240"/>
        <w:jc w:val="both"/>
      </w:pPr>
      <w:r w:rsidRPr="00440960">
        <w:rPr>
          <w:rFonts w:eastAsia="Times New Roman"/>
          <w:b/>
          <w:sz w:val="24"/>
          <w:szCs w:val="24"/>
          <w:lang w:eastAsia="el-GR"/>
        </w:rPr>
        <w:t xml:space="preserve">Από την </w:t>
      </w:r>
      <w:r w:rsidRPr="00440960">
        <w:rPr>
          <w:rFonts w:eastAsia="Times New Roman" w:cs="JasmineUPC"/>
          <w:b/>
          <w:sz w:val="24"/>
          <w:szCs w:val="24"/>
          <w:lang w:eastAsia="el-GR"/>
        </w:rPr>
        <w:t>§</w:t>
      </w:r>
      <w:r w:rsidRPr="00440960">
        <w:rPr>
          <w:rFonts w:eastAsia="Times New Roman"/>
          <w:b/>
          <w:sz w:val="24"/>
          <w:szCs w:val="24"/>
          <w:lang w:eastAsia="el-GR"/>
        </w:rPr>
        <w:t>1.2. «Κυριότερα οξειδωτικά – αναγωγικά. Αντιδράσεις οξειδοαναγωγής»</w:t>
      </w:r>
      <w:r w:rsidRPr="00440960">
        <w:rPr>
          <w:rFonts w:eastAsia="Times New Roman"/>
          <w:sz w:val="24"/>
          <w:szCs w:val="24"/>
          <w:lang w:eastAsia="el-GR"/>
        </w:rPr>
        <w:t xml:space="preserve">  </w:t>
      </w:r>
      <w:r w:rsidRPr="00440960">
        <w:rPr>
          <w:rFonts w:eastAsia="Times New Roman"/>
          <w:b/>
          <w:sz w:val="24"/>
          <w:szCs w:val="24"/>
          <w:u w:val="single"/>
          <w:lang w:eastAsia="el-GR"/>
        </w:rPr>
        <w:t>να διδαχθούν μόνο</w:t>
      </w:r>
      <w:r w:rsidRPr="00440960">
        <w:rPr>
          <w:rFonts w:eastAsia="Times New Roman"/>
          <w:sz w:val="24"/>
          <w:szCs w:val="24"/>
          <w:u w:val="single"/>
          <w:lang w:eastAsia="el-GR"/>
        </w:rPr>
        <w:t>:</w:t>
      </w:r>
    </w:p>
    <w:p w:rsidR="00113563" w:rsidRPr="00440960" w:rsidRDefault="00113563" w:rsidP="00113563">
      <w:pPr>
        <w:numPr>
          <w:ilvl w:val="0"/>
          <w:numId w:val="11"/>
        </w:numPr>
        <w:tabs>
          <w:tab w:val="left" w:pos="540"/>
          <w:tab w:val="left" w:pos="720"/>
          <w:tab w:val="left" w:pos="810"/>
          <w:tab w:val="left" w:pos="900"/>
        </w:tabs>
        <w:spacing w:after="0" w:line="240" w:lineRule="exact"/>
        <w:ind w:left="1077" w:hanging="368"/>
        <w:contextualSpacing/>
        <w:jc w:val="both"/>
        <w:rPr>
          <w:rFonts w:eastAsia="Times New Roman"/>
        </w:rPr>
      </w:pPr>
      <w:r w:rsidRPr="00440960">
        <w:rPr>
          <w:rFonts w:eastAsia="Times New Roman"/>
        </w:rPr>
        <w:t>Ο ορισμός των οξειδωτικών και των αναγωγικών ουσιών.</w:t>
      </w:r>
    </w:p>
    <w:p w:rsidR="00113563" w:rsidRPr="00440960" w:rsidRDefault="00113563" w:rsidP="00113563">
      <w:pPr>
        <w:numPr>
          <w:ilvl w:val="0"/>
          <w:numId w:val="11"/>
        </w:numPr>
        <w:tabs>
          <w:tab w:val="left" w:pos="540"/>
          <w:tab w:val="left" w:pos="720"/>
          <w:tab w:val="left" w:pos="810"/>
          <w:tab w:val="left" w:pos="900"/>
        </w:tabs>
        <w:spacing w:after="0" w:line="276" w:lineRule="auto"/>
        <w:ind w:left="648" w:firstLine="61"/>
        <w:contextualSpacing/>
        <w:jc w:val="both"/>
        <w:rPr>
          <w:rFonts w:eastAsia="Times New Roman"/>
        </w:rPr>
      </w:pPr>
      <w:r w:rsidRPr="00440960">
        <w:rPr>
          <w:rFonts w:eastAsia="Times New Roman"/>
        </w:rPr>
        <w:lastRenderedPageBreak/>
        <w:t>Η «ΜΕΘΟΔΟΛΟΓΙΑ ΓΙΑ ΤΗ ΣΥΜΠΛΗΡΩΣΗ ΑΝΤΙΔΡΑΣΕΩΝ ΟΞΕΙΔΟΑΝΑΓΩΓΗΣ ΠΟΛΥΠΛΟΚΟΥ ΜΟΡΦΗΣ» (κείμενο μέσα στο πλαίσιο, σελ. 19).</w:t>
      </w:r>
    </w:p>
    <w:p w:rsidR="00113563" w:rsidRPr="00440960" w:rsidRDefault="00113563" w:rsidP="00113563">
      <w:pPr>
        <w:numPr>
          <w:ilvl w:val="0"/>
          <w:numId w:val="11"/>
        </w:numPr>
        <w:tabs>
          <w:tab w:val="left" w:pos="540"/>
          <w:tab w:val="left" w:pos="720"/>
          <w:tab w:val="left" w:pos="810"/>
          <w:tab w:val="left" w:pos="900"/>
        </w:tabs>
        <w:spacing w:after="0" w:line="276" w:lineRule="auto"/>
        <w:ind w:left="648" w:firstLine="61"/>
        <w:contextualSpacing/>
        <w:jc w:val="both"/>
        <w:rPr>
          <w:rFonts w:eastAsia="Times New Roman"/>
        </w:rPr>
      </w:pPr>
      <w:r w:rsidRPr="00440960">
        <w:rPr>
          <w:rFonts w:eastAsia="Times New Roman"/>
        </w:rPr>
        <w:t xml:space="preserve">Από την υποενότητα «Παραδείγματα οξειδοαναγωγικών αντιδράσεων», τα παραδείγματα: </w:t>
      </w:r>
    </w:p>
    <w:p w:rsidR="00113563" w:rsidRPr="00440960" w:rsidRDefault="00113563" w:rsidP="00113563">
      <w:pPr>
        <w:tabs>
          <w:tab w:val="left" w:pos="540"/>
          <w:tab w:val="left" w:pos="720"/>
          <w:tab w:val="left" w:pos="810"/>
          <w:tab w:val="left" w:pos="900"/>
        </w:tabs>
        <w:spacing w:after="0"/>
        <w:ind w:left="648" w:firstLine="61"/>
        <w:contextualSpacing/>
        <w:rPr>
          <w:rFonts w:eastAsia="Times New Roman"/>
        </w:rPr>
      </w:pPr>
      <w:r w:rsidRPr="00440960">
        <w:rPr>
          <w:rFonts w:eastAsia="Times New Roman"/>
        </w:rPr>
        <w:t>1) Οξείδωση ΝΗ</w:t>
      </w:r>
      <w:r w:rsidRPr="00440960">
        <w:rPr>
          <w:rFonts w:eastAsia="Times New Roman"/>
          <w:vertAlign w:val="subscript"/>
        </w:rPr>
        <w:t>3</w:t>
      </w:r>
      <w:r w:rsidRPr="00440960">
        <w:rPr>
          <w:rFonts w:eastAsia="Times New Roman"/>
        </w:rPr>
        <w:t xml:space="preserve"> από </w:t>
      </w:r>
      <w:r w:rsidRPr="00440960">
        <w:rPr>
          <w:rFonts w:eastAsia="Times New Roman"/>
          <w:lang w:val="en-US"/>
        </w:rPr>
        <w:t>CuO</w:t>
      </w:r>
      <w:r w:rsidRPr="00440960">
        <w:rPr>
          <w:rFonts w:eastAsia="Times New Roman"/>
        </w:rPr>
        <w:t>,</w:t>
      </w:r>
      <w:r w:rsidRPr="00440960">
        <w:rPr>
          <w:rFonts w:eastAsia="Times New Roman"/>
        </w:rPr>
        <w:br/>
        <w:t xml:space="preserve">4) Οξείδωση </w:t>
      </w:r>
      <w:r w:rsidRPr="00440960">
        <w:rPr>
          <w:rFonts w:eastAsia="Times New Roman"/>
          <w:lang w:val="en-US"/>
        </w:rPr>
        <w:t>CO</w:t>
      </w:r>
      <w:r w:rsidRPr="00440960">
        <w:rPr>
          <w:rFonts w:eastAsia="Times New Roman"/>
        </w:rPr>
        <w:t xml:space="preserve"> από </w:t>
      </w:r>
      <w:r w:rsidRPr="00440960">
        <w:rPr>
          <w:rFonts w:eastAsia="Times New Roman"/>
          <w:lang w:val="en-US"/>
        </w:rPr>
        <w:t>KMnO</w:t>
      </w:r>
      <w:r w:rsidRPr="00440960">
        <w:rPr>
          <w:rFonts w:eastAsia="Times New Roman"/>
          <w:vertAlign w:val="subscript"/>
        </w:rPr>
        <w:t xml:space="preserve">4 </w:t>
      </w:r>
      <w:r w:rsidRPr="00440960">
        <w:rPr>
          <w:rFonts w:eastAsia="Times New Roman"/>
        </w:rPr>
        <w:t xml:space="preserve">παρουσία </w:t>
      </w:r>
      <w:r w:rsidRPr="00440960">
        <w:rPr>
          <w:rFonts w:eastAsia="Times New Roman"/>
          <w:lang w:val="en-US"/>
        </w:rPr>
        <w:t>H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SO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/>
        </w:rPr>
        <w:t xml:space="preserve"> και</w:t>
      </w:r>
      <w:r w:rsidRPr="00440960">
        <w:rPr>
          <w:rFonts w:eastAsia="Times New Roman"/>
        </w:rPr>
        <w:br/>
        <w:t xml:space="preserve">5) Οξείδωση </w:t>
      </w:r>
      <w:r w:rsidRPr="00440960">
        <w:rPr>
          <w:rFonts w:eastAsia="Times New Roman"/>
          <w:lang w:val="en-US"/>
        </w:rPr>
        <w:t>FeCl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</w:rPr>
        <w:t xml:space="preserve"> από </w:t>
      </w:r>
      <w:r w:rsidRPr="00440960">
        <w:rPr>
          <w:rFonts w:eastAsia="Times New Roman"/>
          <w:lang w:val="en-US"/>
        </w:rPr>
        <w:t>K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Cr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O</w:t>
      </w:r>
      <w:r w:rsidRPr="00440960">
        <w:rPr>
          <w:rFonts w:eastAsia="Times New Roman"/>
          <w:vertAlign w:val="subscript"/>
        </w:rPr>
        <w:t>7</w:t>
      </w:r>
      <w:r w:rsidRPr="00440960">
        <w:rPr>
          <w:rFonts w:eastAsia="Times New Roman"/>
        </w:rPr>
        <w:t xml:space="preserve"> παρουσία </w:t>
      </w:r>
      <w:r w:rsidRPr="00440960">
        <w:rPr>
          <w:rFonts w:eastAsia="Times New Roman"/>
          <w:lang w:val="en-US"/>
        </w:rPr>
        <w:t>HCl</w:t>
      </w:r>
    </w:p>
    <w:p w:rsidR="00113563" w:rsidRPr="00440960" w:rsidRDefault="00113563" w:rsidP="00113563">
      <w:pPr>
        <w:tabs>
          <w:tab w:val="left" w:pos="540"/>
          <w:tab w:val="left" w:pos="720"/>
          <w:tab w:val="left" w:pos="810"/>
          <w:tab w:val="left" w:pos="900"/>
        </w:tabs>
        <w:spacing w:after="0"/>
        <w:ind w:left="648"/>
        <w:contextualSpacing/>
        <w:rPr>
          <w:rFonts w:eastAsia="Times New Roman"/>
        </w:rPr>
      </w:pPr>
    </w:p>
    <w:p w:rsidR="00113563" w:rsidRPr="00440960" w:rsidRDefault="00113563" w:rsidP="00113563">
      <w:pPr>
        <w:spacing w:after="120"/>
        <w:jc w:val="both"/>
        <w:rPr>
          <w:b/>
        </w:rPr>
      </w:pPr>
      <w:r w:rsidRPr="00440960">
        <w:rPr>
          <w:b/>
        </w:rPr>
        <w:t>Κατά τη διδασκαλία της παραγράφου 1.2. προτείνεται:</w:t>
      </w:r>
    </w:p>
    <w:p w:rsidR="00113563" w:rsidRPr="00440960" w:rsidRDefault="00113563" w:rsidP="00113563">
      <w:pPr>
        <w:spacing w:after="120"/>
        <w:jc w:val="both"/>
      </w:pPr>
      <w:r w:rsidRPr="00440960">
        <w:t xml:space="preserve">Να δοθεί έμφαση στο χαρακτηρισμό των χημικών ουσιών ως οξειδωτικών και αναγωγικών. </w:t>
      </w:r>
    </w:p>
    <w:p w:rsidR="00113563" w:rsidRPr="00440960" w:rsidRDefault="00113563" w:rsidP="00113563">
      <w:pPr>
        <w:spacing w:after="120"/>
        <w:jc w:val="both"/>
      </w:pPr>
      <w:r w:rsidRPr="00440960">
        <w:t xml:space="preserve">Να γίνει εξάσκηση των μαθητών στη συμπλήρωση χημικών εξισώσεων αντιδράσεων οξειδοαναγωγής με τη μέθοδο της μεταβολής του αριθμού οξείδωσης. </w:t>
      </w:r>
      <w:r w:rsidRPr="00440960">
        <w:rPr>
          <w:b/>
        </w:rPr>
        <w:t>Δεν απαιτείται</w:t>
      </w:r>
      <w:r w:rsidRPr="00440960">
        <w:t xml:space="preserve"> από τους μαθητές η γνώση των προϊόντων με βάση τον πίνακα των οξειδωτικών και αναγωγικών ουσιών, </w:t>
      </w:r>
      <w:r w:rsidRPr="00440960">
        <w:rPr>
          <w:b/>
          <w:u w:val="single"/>
        </w:rPr>
        <w:t>ΕΚΤΟΣ</w:t>
      </w:r>
      <w:r w:rsidRPr="00440960">
        <w:t xml:space="preserve"> αυτών που περιλαμβάνονται στα παραδείγματα: 1) Οξείδωση ΝΗ</w:t>
      </w:r>
      <w:r w:rsidRPr="00440960">
        <w:rPr>
          <w:vertAlign w:val="subscript"/>
        </w:rPr>
        <w:t>3</w:t>
      </w:r>
      <w:r w:rsidRPr="00440960">
        <w:t xml:space="preserve"> από CuO, 4) Οξείδωση CO από KMnO</w:t>
      </w:r>
      <w:r w:rsidRPr="00440960">
        <w:rPr>
          <w:vertAlign w:val="subscript"/>
        </w:rPr>
        <w:t>4</w:t>
      </w:r>
      <w:r w:rsidRPr="00440960">
        <w:t xml:space="preserve"> παρουσία H</w:t>
      </w:r>
      <w:r w:rsidRPr="00440960">
        <w:rPr>
          <w:vertAlign w:val="subscript"/>
        </w:rPr>
        <w:t>2</w:t>
      </w:r>
      <w:r w:rsidRPr="00440960">
        <w:t>SO</w:t>
      </w:r>
      <w:r w:rsidRPr="00440960">
        <w:rPr>
          <w:vertAlign w:val="subscript"/>
        </w:rPr>
        <w:t>4</w:t>
      </w:r>
      <w:r w:rsidRPr="00440960">
        <w:t xml:space="preserve"> και 5) Οξείδωση FeCl</w:t>
      </w:r>
      <w:r w:rsidRPr="00440960">
        <w:rPr>
          <w:vertAlign w:val="subscript"/>
        </w:rPr>
        <w:t>2</w:t>
      </w:r>
      <w:r w:rsidRPr="00440960">
        <w:t xml:space="preserve"> από K</w:t>
      </w:r>
      <w:r w:rsidRPr="00440960">
        <w:rPr>
          <w:vertAlign w:val="subscript"/>
        </w:rPr>
        <w:t>2</w:t>
      </w:r>
      <w:r w:rsidRPr="00440960">
        <w:t>Cr</w:t>
      </w:r>
      <w:r w:rsidRPr="00440960">
        <w:rPr>
          <w:vertAlign w:val="subscript"/>
        </w:rPr>
        <w:t>2</w:t>
      </w:r>
      <w:r w:rsidRPr="00440960">
        <w:t>O</w:t>
      </w:r>
      <w:r w:rsidRPr="00440960">
        <w:rPr>
          <w:vertAlign w:val="subscript"/>
        </w:rPr>
        <w:t>7</w:t>
      </w:r>
      <w:r w:rsidRPr="00440960">
        <w:t xml:space="preserve"> παρουσία HCl. </w:t>
      </w:r>
    </w:p>
    <w:p w:rsidR="00113563" w:rsidRPr="00440960" w:rsidRDefault="00113563" w:rsidP="00113563">
      <w:pPr>
        <w:spacing w:after="120"/>
        <w:jc w:val="both"/>
      </w:pPr>
      <w:r w:rsidRPr="00440960">
        <w:rPr>
          <w:rFonts w:eastAsia="Times New Roman"/>
        </w:rPr>
        <w:t xml:space="preserve">Να δοθεί ιδιαίτερο βάρος στην οξειδωτική δράση των όξινων διαλυμάτων </w:t>
      </w:r>
      <w:r w:rsidRPr="00440960">
        <w:t>KMnO</w:t>
      </w:r>
      <w:r w:rsidRPr="00440960">
        <w:rPr>
          <w:vertAlign w:val="subscript"/>
        </w:rPr>
        <w:t>4</w:t>
      </w:r>
      <w:r w:rsidRPr="00440960">
        <w:t xml:space="preserve"> και του K</w:t>
      </w:r>
      <w:r w:rsidRPr="00440960">
        <w:rPr>
          <w:vertAlign w:val="subscript"/>
        </w:rPr>
        <w:t>2</w:t>
      </w:r>
      <w:r w:rsidRPr="00440960">
        <w:t>Cr</w:t>
      </w:r>
      <w:r w:rsidRPr="00440960">
        <w:rPr>
          <w:vertAlign w:val="subscript"/>
        </w:rPr>
        <w:t>2</w:t>
      </w:r>
      <w:r w:rsidRPr="00440960">
        <w:t>O</w:t>
      </w:r>
      <w:r w:rsidRPr="00440960">
        <w:rPr>
          <w:vertAlign w:val="subscript"/>
        </w:rPr>
        <w:t>7</w:t>
      </w:r>
      <w:r w:rsidRPr="00440960">
        <w:t xml:space="preserve">, καθώς είναι προαπαιτούμενα για το κεφάλαιο 7 (Οργανική Χημεία). </w:t>
      </w:r>
    </w:p>
    <w:p w:rsidR="00113563" w:rsidRPr="00440960" w:rsidRDefault="00113563" w:rsidP="00113563">
      <w:pPr>
        <w:spacing w:after="0"/>
        <w:ind w:right="-199"/>
        <w:rPr>
          <w:rFonts w:eastAsia="Times New Roman"/>
          <w:lang w:eastAsia="el-GR"/>
        </w:rPr>
      </w:pPr>
      <w:r w:rsidRPr="00440960">
        <w:rPr>
          <w:rFonts w:eastAsia="Times New Roman"/>
          <w:lang w:eastAsia="el-GR"/>
        </w:rPr>
        <w:t xml:space="preserve"> </w:t>
      </w:r>
      <w:r w:rsidRPr="00440960">
        <w:rPr>
          <w:rFonts w:eastAsia="Times New Roman"/>
          <w:b/>
          <w:lang w:eastAsia="el-GR"/>
        </w:rPr>
        <w:t>Προτείνεται</w:t>
      </w:r>
      <w:r w:rsidRPr="00440960">
        <w:rPr>
          <w:rFonts w:eastAsia="Times New Roman"/>
          <w:lang w:eastAsia="el-GR"/>
        </w:rPr>
        <w:t>, επίσης, για εξάσκηση των μαθητών, να γίνουν και τα εξής παραδείγματα:</w:t>
      </w:r>
    </w:p>
    <w:p w:rsidR="00113563" w:rsidRPr="00440960" w:rsidRDefault="00113563" w:rsidP="00113563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  <w:lang w:val="en-US"/>
        </w:rPr>
        <w:t>CO</w:t>
      </w:r>
      <w:r w:rsidRPr="00440960">
        <w:rPr>
          <w:rFonts w:eastAsia="Times New Roman"/>
        </w:rPr>
        <w:t xml:space="preserve"> +</w:t>
      </w:r>
      <w:r w:rsidRPr="00440960">
        <w:rPr>
          <w:rFonts w:eastAsia="Times New Roman"/>
          <w:lang w:val="en-US"/>
        </w:rPr>
        <w:t xml:space="preserve"> K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Cr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O</w:t>
      </w:r>
      <w:r w:rsidRPr="00440960">
        <w:rPr>
          <w:rFonts w:eastAsia="Times New Roman"/>
          <w:vertAlign w:val="subscript"/>
        </w:rPr>
        <w:t>7</w:t>
      </w:r>
      <w:r w:rsidRPr="00440960">
        <w:rPr>
          <w:rFonts w:eastAsia="Times New Roman"/>
        </w:rPr>
        <w:t xml:space="preserve">  + </w:t>
      </w:r>
      <w:r w:rsidRPr="00440960">
        <w:rPr>
          <w:rFonts w:eastAsia="Times New Roman"/>
          <w:lang w:val="en-US"/>
        </w:rPr>
        <w:t>H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SO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 w:cs="Calibri"/>
        </w:rPr>
        <w:t>→</w:t>
      </w:r>
    </w:p>
    <w:p w:rsidR="00113563" w:rsidRPr="00440960" w:rsidRDefault="00113563" w:rsidP="00113563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  <w:lang w:val="en-US"/>
        </w:rPr>
        <w:t>FeSO</w:t>
      </w:r>
      <w:r w:rsidRPr="00440960">
        <w:rPr>
          <w:rFonts w:eastAsia="Times New Roman"/>
          <w:vertAlign w:val="subscript"/>
          <w:lang w:val="en-US"/>
        </w:rPr>
        <w:t>4</w:t>
      </w:r>
      <w:r w:rsidRPr="00440960">
        <w:rPr>
          <w:rFonts w:eastAsia="Times New Roman"/>
          <w:lang w:val="en-US"/>
        </w:rPr>
        <w:t xml:space="preserve"> + K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Cr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O</w:t>
      </w:r>
      <w:r w:rsidRPr="00440960">
        <w:rPr>
          <w:rFonts w:eastAsia="Times New Roman"/>
          <w:vertAlign w:val="subscript"/>
        </w:rPr>
        <w:t>7</w:t>
      </w:r>
      <w:r w:rsidRPr="00440960">
        <w:rPr>
          <w:rFonts w:eastAsia="Times New Roman"/>
        </w:rPr>
        <w:t xml:space="preserve">  + </w:t>
      </w:r>
      <w:r w:rsidRPr="00440960">
        <w:rPr>
          <w:rFonts w:eastAsia="Times New Roman"/>
          <w:lang w:val="en-US"/>
        </w:rPr>
        <w:t>H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SO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 w:cs="Calibri"/>
        </w:rPr>
        <w:t>→</w:t>
      </w:r>
    </w:p>
    <w:p w:rsidR="00113563" w:rsidRPr="00440960" w:rsidRDefault="00113563" w:rsidP="00113563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  <w:lang w:val="en-US"/>
        </w:rPr>
        <w:t>FeSO</w:t>
      </w:r>
      <w:r w:rsidRPr="00440960">
        <w:rPr>
          <w:rFonts w:eastAsia="Times New Roman"/>
          <w:vertAlign w:val="subscript"/>
          <w:lang w:val="en-US"/>
        </w:rPr>
        <w:t>4</w:t>
      </w:r>
      <w:r w:rsidRPr="00440960">
        <w:rPr>
          <w:rFonts w:eastAsia="Times New Roman"/>
          <w:lang w:val="en-US"/>
        </w:rPr>
        <w:t xml:space="preserve"> + KMnO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/>
        </w:rPr>
        <w:t xml:space="preserve"> + </w:t>
      </w:r>
      <w:r w:rsidRPr="00440960">
        <w:rPr>
          <w:rFonts w:eastAsia="Times New Roman"/>
          <w:lang w:val="en-US"/>
        </w:rPr>
        <w:t>H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SO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 w:cs="Calibri"/>
        </w:rPr>
        <w:t>→</w:t>
      </w:r>
    </w:p>
    <w:p w:rsidR="00113563" w:rsidRPr="00440960" w:rsidRDefault="00113563" w:rsidP="00113563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  <w:lang w:val="en-US"/>
        </w:rPr>
        <w:t>CH</w:t>
      </w:r>
      <w:r w:rsidRPr="00440960">
        <w:rPr>
          <w:rFonts w:eastAsia="Times New Roman"/>
          <w:vertAlign w:val="subscript"/>
          <w:lang w:val="en-US"/>
        </w:rPr>
        <w:t>3</w:t>
      </w:r>
      <w:r w:rsidRPr="00440960">
        <w:rPr>
          <w:rFonts w:eastAsia="Times New Roman"/>
          <w:lang w:val="en-US"/>
        </w:rPr>
        <w:t>CH</w:t>
      </w:r>
      <w:r w:rsidRPr="00440960">
        <w:rPr>
          <w:rFonts w:eastAsia="Times New Roman"/>
          <w:vertAlign w:val="subscript"/>
          <w:lang w:val="en-US"/>
        </w:rPr>
        <w:t>2</w:t>
      </w:r>
      <w:r w:rsidRPr="00440960">
        <w:rPr>
          <w:rFonts w:eastAsia="Times New Roman"/>
          <w:lang w:val="en-US"/>
        </w:rPr>
        <w:t>OH+ KMnO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/>
        </w:rPr>
        <w:t xml:space="preserve"> + </w:t>
      </w:r>
      <w:r w:rsidRPr="00440960">
        <w:rPr>
          <w:rFonts w:eastAsia="Times New Roman"/>
          <w:lang w:val="en-US"/>
        </w:rPr>
        <w:t>H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SO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 w:cs="Calibri"/>
        </w:rPr>
        <w:t>→</w:t>
      </w:r>
      <w:r w:rsidRPr="00440960">
        <w:rPr>
          <w:rFonts w:eastAsia="Times New Roman"/>
          <w:lang w:val="en-US"/>
        </w:rPr>
        <w:t xml:space="preserve"> CH</w:t>
      </w:r>
      <w:r w:rsidRPr="00440960">
        <w:rPr>
          <w:rFonts w:eastAsia="Times New Roman"/>
          <w:vertAlign w:val="subscript"/>
          <w:lang w:val="en-US"/>
        </w:rPr>
        <w:t>3</w:t>
      </w:r>
      <w:r w:rsidRPr="00440960">
        <w:rPr>
          <w:rFonts w:eastAsia="Times New Roman"/>
          <w:lang w:val="en-US"/>
        </w:rPr>
        <w:t>COOH</w:t>
      </w:r>
    </w:p>
    <w:p w:rsidR="00113563" w:rsidRPr="00440960" w:rsidRDefault="00113563" w:rsidP="00113563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  <w:lang w:val="en-US"/>
        </w:rPr>
        <w:t>CH</w:t>
      </w:r>
      <w:r w:rsidRPr="00440960">
        <w:rPr>
          <w:rFonts w:eastAsia="Times New Roman"/>
          <w:vertAlign w:val="subscript"/>
          <w:lang w:val="en-US"/>
        </w:rPr>
        <w:t>3</w:t>
      </w:r>
      <w:r w:rsidRPr="00440960">
        <w:rPr>
          <w:rFonts w:eastAsia="Times New Roman"/>
          <w:lang w:val="en-US"/>
        </w:rPr>
        <w:t>CH</w:t>
      </w:r>
      <w:r w:rsidRPr="00440960">
        <w:rPr>
          <w:rFonts w:eastAsia="Times New Roman"/>
          <w:vertAlign w:val="subscript"/>
          <w:lang w:val="en-US"/>
        </w:rPr>
        <w:t>2</w:t>
      </w:r>
      <w:r w:rsidRPr="00440960">
        <w:rPr>
          <w:rFonts w:eastAsia="Times New Roman"/>
          <w:lang w:val="en-US"/>
        </w:rPr>
        <w:t>OH+ K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Cr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O</w:t>
      </w:r>
      <w:r w:rsidRPr="00440960">
        <w:rPr>
          <w:rFonts w:eastAsia="Times New Roman"/>
          <w:vertAlign w:val="subscript"/>
        </w:rPr>
        <w:t>7</w:t>
      </w:r>
      <w:r w:rsidRPr="00440960">
        <w:rPr>
          <w:rFonts w:eastAsia="Times New Roman"/>
        </w:rPr>
        <w:t xml:space="preserve"> + </w:t>
      </w:r>
      <w:r w:rsidRPr="00440960">
        <w:rPr>
          <w:rFonts w:eastAsia="Times New Roman"/>
          <w:lang w:val="en-US"/>
        </w:rPr>
        <w:t>H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SO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 w:cs="Calibri"/>
        </w:rPr>
        <w:t>→</w:t>
      </w:r>
      <w:r w:rsidRPr="00440960">
        <w:rPr>
          <w:rFonts w:eastAsia="Times New Roman"/>
          <w:lang w:val="en-US"/>
        </w:rPr>
        <w:t xml:space="preserve"> CH</w:t>
      </w:r>
      <w:r w:rsidRPr="00440960">
        <w:rPr>
          <w:rFonts w:eastAsia="Times New Roman"/>
          <w:vertAlign w:val="subscript"/>
          <w:lang w:val="en-US"/>
        </w:rPr>
        <w:t>3</w:t>
      </w:r>
      <w:r w:rsidRPr="00440960">
        <w:rPr>
          <w:rFonts w:eastAsia="Times New Roman"/>
          <w:lang w:val="en-US"/>
        </w:rPr>
        <w:t>CHO</w:t>
      </w:r>
    </w:p>
    <w:p w:rsidR="00113563" w:rsidRPr="00440960" w:rsidRDefault="00113563" w:rsidP="00113563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  <w:lang w:val="en-US"/>
        </w:rPr>
        <w:t>CH</w:t>
      </w:r>
      <w:r w:rsidRPr="00440960">
        <w:rPr>
          <w:rFonts w:eastAsia="Times New Roman"/>
          <w:vertAlign w:val="subscript"/>
          <w:lang w:val="en-US"/>
        </w:rPr>
        <w:t>3</w:t>
      </w:r>
      <w:r w:rsidRPr="00440960">
        <w:rPr>
          <w:rFonts w:eastAsia="Times New Roman"/>
          <w:lang w:val="en-US"/>
        </w:rPr>
        <w:t>CH</w:t>
      </w:r>
      <w:r w:rsidRPr="00440960">
        <w:rPr>
          <w:rFonts w:eastAsia="Times New Roman"/>
          <w:vertAlign w:val="subscript"/>
          <w:lang w:val="en-US"/>
        </w:rPr>
        <w:t>2</w:t>
      </w:r>
      <w:r w:rsidRPr="00440960">
        <w:rPr>
          <w:rFonts w:eastAsia="Times New Roman"/>
          <w:lang w:val="en-US"/>
        </w:rPr>
        <w:t>OH + K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Cr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O</w:t>
      </w:r>
      <w:r w:rsidRPr="00440960">
        <w:rPr>
          <w:rFonts w:eastAsia="Times New Roman"/>
          <w:vertAlign w:val="subscript"/>
        </w:rPr>
        <w:t>7</w:t>
      </w:r>
      <w:r w:rsidRPr="00440960">
        <w:rPr>
          <w:rFonts w:eastAsia="Times New Roman"/>
        </w:rPr>
        <w:t xml:space="preserve"> + </w:t>
      </w:r>
      <w:r w:rsidRPr="00440960">
        <w:rPr>
          <w:rFonts w:eastAsia="Times New Roman"/>
          <w:lang w:val="en-US"/>
        </w:rPr>
        <w:t>H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SO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 w:cs="Calibri"/>
        </w:rPr>
        <w:t>→</w:t>
      </w:r>
      <w:r w:rsidRPr="00440960">
        <w:rPr>
          <w:rFonts w:eastAsia="Times New Roman"/>
          <w:lang w:val="en-US"/>
        </w:rPr>
        <w:t xml:space="preserve"> CH</w:t>
      </w:r>
      <w:r w:rsidRPr="00440960">
        <w:rPr>
          <w:rFonts w:eastAsia="Times New Roman"/>
          <w:vertAlign w:val="subscript"/>
          <w:lang w:val="en-US"/>
        </w:rPr>
        <w:t>3</w:t>
      </w:r>
      <w:r w:rsidRPr="00440960">
        <w:rPr>
          <w:rFonts w:eastAsia="Times New Roman"/>
          <w:lang w:val="en-US"/>
        </w:rPr>
        <w:t>COOH</w:t>
      </w:r>
    </w:p>
    <w:p w:rsidR="00113563" w:rsidRPr="00440960" w:rsidRDefault="00113563" w:rsidP="00113563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  <w:lang w:val="en-US"/>
        </w:rPr>
        <w:t>CH</w:t>
      </w:r>
      <w:r w:rsidRPr="00440960">
        <w:rPr>
          <w:rFonts w:eastAsia="Times New Roman"/>
          <w:vertAlign w:val="subscript"/>
          <w:lang w:val="en-US"/>
        </w:rPr>
        <w:t>3</w:t>
      </w:r>
      <w:r w:rsidRPr="00440960">
        <w:rPr>
          <w:rFonts w:eastAsia="Times New Roman"/>
          <w:lang w:val="en-US"/>
        </w:rPr>
        <w:t>CHO + KMnO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/>
        </w:rPr>
        <w:t xml:space="preserve"> + </w:t>
      </w:r>
      <w:r w:rsidRPr="00440960">
        <w:rPr>
          <w:rFonts w:eastAsia="Times New Roman"/>
          <w:lang w:val="en-US"/>
        </w:rPr>
        <w:t>H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SO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 w:cs="Calibri"/>
        </w:rPr>
        <w:t>→</w:t>
      </w:r>
    </w:p>
    <w:p w:rsidR="00113563" w:rsidRPr="00440960" w:rsidRDefault="00113563" w:rsidP="00113563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  <w:lang w:val="en-US"/>
        </w:rPr>
        <w:t>CH</w:t>
      </w:r>
      <w:r w:rsidRPr="00440960">
        <w:rPr>
          <w:rFonts w:eastAsia="Times New Roman"/>
          <w:vertAlign w:val="subscript"/>
          <w:lang w:val="en-US"/>
        </w:rPr>
        <w:t>3</w:t>
      </w:r>
      <w:r w:rsidRPr="00440960">
        <w:rPr>
          <w:rFonts w:eastAsia="Times New Roman"/>
          <w:lang w:val="en-US"/>
        </w:rPr>
        <w:t>CHO + K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Cr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O</w:t>
      </w:r>
      <w:r w:rsidRPr="00440960">
        <w:rPr>
          <w:rFonts w:eastAsia="Times New Roman"/>
          <w:vertAlign w:val="subscript"/>
        </w:rPr>
        <w:t>7</w:t>
      </w:r>
      <w:r w:rsidRPr="00440960">
        <w:rPr>
          <w:rFonts w:eastAsia="Times New Roman"/>
        </w:rPr>
        <w:t xml:space="preserve">+ </w:t>
      </w:r>
      <w:r w:rsidRPr="00440960">
        <w:rPr>
          <w:rFonts w:eastAsia="Times New Roman"/>
          <w:lang w:val="en-US"/>
        </w:rPr>
        <w:t>H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SO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 w:cs="Calibri"/>
        </w:rPr>
        <w:t>→</w:t>
      </w:r>
    </w:p>
    <w:p w:rsidR="00113563" w:rsidRPr="00440960" w:rsidRDefault="00113563" w:rsidP="00113563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  <w:lang w:val="en-US"/>
        </w:rPr>
        <w:t>2-</w:t>
      </w:r>
      <w:r w:rsidRPr="00440960">
        <w:rPr>
          <w:rFonts w:eastAsia="Times New Roman"/>
        </w:rPr>
        <w:t xml:space="preserve">προπανόλη </w:t>
      </w:r>
      <w:r w:rsidRPr="00440960">
        <w:rPr>
          <w:rFonts w:eastAsia="Times New Roman"/>
          <w:lang w:val="en-US"/>
        </w:rPr>
        <w:t>+ KMnO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/>
        </w:rPr>
        <w:t xml:space="preserve"> + </w:t>
      </w:r>
      <w:r w:rsidRPr="00440960">
        <w:rPr>
          <w:rFonts w:eastAsia="Times New Roman"/>
          <w:lang w:val="en-US"/>
        </w:rPr>
        <w:t>H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SO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 w:cs="Calibri"/>
        </w:rPr>
        <w:t>→</w:t>
      </w:r>
    </w:p>
    <w:p w:rsidR="00113563" w:rsidRPr="00440960" w:rsidRDefault="00113563" w:rsidP="00113563">
      <w:pPr>
        <w:numPr>
          <w:ilvl w:val="0"/>
          <w:numId w:val="12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  <w:lang w:val="en-US"/>
        </w:rPr>
        <w:t>2-</w:t>
      </w:r>
      <w:r w:rsidRPr="00440960">
        <w:rPr>
          <w:rFonts w:eastAsia="Times New Roman"/>
        </w:rPr>
        <w:t xml:space="preserve">προπανόλη </w:t>
      </w:r>
      <w:r w:rsidRPr="00440960">
        <w:rPr>
          <w:rFonts w:eastAsia="Times New Roman"/>
          <w:lang w:val="en-US"/>
        </w:rPr>
        <w:t>+ K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Cr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O</w:t>
      </w:r>
      <w:r w:rsidRPr="00440960">
        <w:rPr>
          <w:rFonts w:eastAsia="Times New Roman"/>
          <w:vertAlign w:val="subscript"/>
        </w:rPr>
        <w:t>7</w:t>
      </w:r>
      <w:r w:rsidRPr="00440960">
        <w:rPr>
          <w:rFonts w:eastAsia="Times New Roman"/>
        </w:rPr>
        <w:t xml:space="preserve"> + </w:t>
      </w:r>
      <w:r w:rsidRPr="00440960">
        <w:rPr>
          <w:rFonts w:eastAsia="Times New Roman"/>
          <w:lang w:val="en-US"/>
        </w:rPr>
        <w:t>H</w:t>
      </w:r>
      <w:r w:rsidRPr="00440960">
        <w:rPr>
          <w:rFonts w:eastAsia="Times New Roman"/>
          <w:vertAlign w:val="subscript"/>
        </w:rPr>
        <w:t>2</w:t>
      </w:r>
      <w:r w:rsidRPr="00440960">
        <w:rPr>
          <w:rFonts w:eastAsia="Times New Roman"/>
          <w:lang w:val="en-US"/>
        </w:rPr>
        <w:t>SO</w:t>
      </w:r>
      <w:r w:rsidRPr="00440960">
        <w:rPr>
          <w:rFonts w:eastAsia="Times New Roman"/>
          <w:vertAlign w:val="subscript"/>
        </w:rPr>
        <w:t>4</w:t>
      </w:r>
      <w:r w:rsidRPr="00440960">
        <w:rPr>
          <w:rFonts w:eastAsia="Times New Roman" w:cs="Calibri"/>
        </w:rPr>
        <w:t>→</w:t>
      </w:r>
    </w:p>
    <w:p w:rsidR="00113563" w:rsidRPr="00440960" w:rsidRDefault="00113563" w:rsidP="00113563">
      <w:pPr>
        <w:spacing w:before="120" w:after="120"/>
        <w:jc w:val="both"/>
      </w:pPr>
      <w:r w:rsidRPr="00440960">
        <w:rPr>
          <w:b/>
        </w:rPr>
        <w:t>Από τις ασκήσεις –προβλήματα να διδαχθούν</w:t>
      </w:r>
      <w:r w:rsidRPr="00440960">
        <w:t>:  16, 18, 19, 20, 23, 24, 25, 26, 27, 28, και 31. Επίσης, οι 39, 42, 43, και 56 αρκεί να δίνονται τα προϊόντα των αντιδράσεων όταν δεν αναφέρονται στην εκφώνηση.</w:t>
      </w:r>
    </w:p>
    <w:p w:rsidR="00113563" w:rsidRPr="00440960" w:rsidRDefault="00113563" w:rsidP="00113563">
      <w:pPr>
        <w:spacing w:after="0"/>
        <w:ind w:left="720"/>
        <w:contextualSpacing/>
        <w:rPr>
          <w:rFonts w:eastAsia="Times New Roman"/>
        </w:rPr>
      </w:pPr>
    </w:p>
    <w:p w:rsidR="00113563" w:rsidRPr="00440960" w:rsidRDefault="00113563" w:rsidP="0011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3"/>
        <w:rPr>
          <w:rFonts w:eastAsia="Times New Roman"/>
          <w:b/>
          <w:bCs/>
          <w:sz w:val="24"/>
          <w:szCs w:val="24"/>
          <w:lang w:eastAsia="el-GR"/>
        </w:rPr>
      </w:pPr>
      <w:r w:rsidRPr="00440960">
        <w:rPr>
          <w:rFonts w:eastAsia="Times New Roman"/>
          <w:b/>
          <w:bCs/>
          <w:sz w:val="24"/>
          <w:szCs w:val="24"/>
          <w:lang w:eastAsia="el-GR"/>
        </w:rPr>
        <w:t>Κεφάλαιο 2. «ΘΕΡΜΟΧΗΜΕΙΑ» (</w:t>
      </w:r>
      <w:r w:rsidRPr="00440960">
        <w:rPr>
          <w:rFonts w:eastAsia="Times New Roman"/>
          <w:bCs/>
          <w:sz w:val="24"/>
          <w:szCs w:val="24"/>
          <w:lang w:eastAsia="el-GR"/>
        </w:rPr>
        <w:t>1 ώρα)</w:t>
      </w:r>
    </w:p>
    <w:p w:rsidR="00113563" w:rsidRPr="00440960" w:rsidRDefault="00113563" w:rsidP="00113563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</w:p>
    <w:p w:rsidR="00113563" w:rsidRPr="00440960" w:rsidRDefault="00113563" w:rsidP="00113563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  <w:r w:rsidRPr="00440960">
        <w:rPr>
          <w:rFonts w:eastAsia="Times New Roman"/>
          <w:b/>
          <w:sz w:val="24"/>
          <w:szCs w:val="24"/>
          <w:lang w:eastAsia="el-GR"/>
        </w:rPr>
        <w:t xml:space="preserve">Να διδαχθεί η </w:t>
      </w:r>
      <w:r w:rsidRPr="00440960">
        <w:rPr>
          <w:rFonts w:eastAsia="Times New Roman" w:cs="JasmineUPC"/>
          <w:b/>
          <w:sz w:val="24"/>
          <w:szCs w:val="24"/>
          <w:lang w:eastAsia="el-GR"/>
        </w:rPr>
        <w:t>§</w:t>
      </w:r>
      <w:r w:rsidRPr="00440960">
        <w:rPr>
          <w:rFonts w:eastAsia="Times New Roman"/>
          <w:b/>
          <w:sz w:val="24"/>
          <w:szCs w:val="24"/>
          <w:lang w:eastAsia="el-GR"/>
        </w:rPr>
        <w:t>2.1.</w:t>
      </w:r>
      <w:r w:rsidRPr="00440960">
        <w:rPr>
          <w:rFonts w:eastAsia="Times New Roman"/>
          <w:sz w:val="24"/>
          <w:szCs w:val="24"/>
          <w:lang w:eastAsia="el-GR"/>
        </w:rPr>
        <w:t xml:space="preserve"> «Μεταβολή ενέργειας κατά τις χημικές μεταβολές. Ενδόθερμες-εξώθερμες αντιδράσεις Θερμότητα αντίδρασης – ενθαλπία», από την αρχή </w:t>
      </w:r>
      <w:r w:rsidRPr="00440960">
        <w:rPr>
          <w:rFonts w:eastAsia="Times New Roman"/>
          <w:b/>
          <w:sz w:val="24"/>
          <w:szCs w:val="24"/>
          <w:lang w:eastAsia="el-GR"/>
        </w:rPr>
        <w:t>μέχρι</w:t>
      </w:r>
      <w:r w:rsidRPr="00440960">
        <w:rPr>
          <w:rFonts w:eastAsia="Times New Roman"/>
          <w:sz w:val="24"/>
          <w:szCs w:val="24"/>
          <w:lang w:eastAsia="el-GR"/>
        </w:rPr>
        <w:t xml:space="preserve"> την υποενότητα «Ενθαλπία αντίδρασης – ΔΗ» (σελ. 46).</w:t>
      </w:r>
    </w:p>
    <w:p w:rsidR="00113563" w:rsidRPr="00440960" w:rsidRDefault="00113563" w:rsidP="00113563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</w:p>
    <w:p w:rsidR="00113563" w:rsidRPr="00440960" w:rsidRDefault="00113563" w:rsidP="00113563">
      <w:pPr>
        <w:spacing w:after="120"/>
        <w:jc w:val="both"/>
      </w:pPr>
      <w:r w:rsidRPr="00440960">
        <w:rPr>
          <w:b/>
        </w:rPr>
        <w:t>Κατά τη διδασκαλία της παραγράφου προτείνεται</w:t>
      </w:r>
      <w:r w:rsidRPr="00440960">
        <w:t xml:space="preserve"> να δοθεί έμφαση στην ταξινόμηση των χημικών αντιδράσεων σε ενδόθερμες και εξώθερμες και στη σύνδεση των μεταβολών της ενθαλπίας με τις εξώθερμες και ενδόθερμες αντιδράσεις.</w:t>
      </w:r>
    </w:p>
    <w:p w:rsidR="00113563" w:rsidRPr="00440960" w:rsidRDefault="00113563" w:rsidP="00113563">
      <w:pPr>
        <w:jc w:val="both"/>
      </w:pPr>
      <w:r w:rsidRPr="00440960">
        <w:t xml:space="preserve">Οι θερμοχημικές εξισώσεις μπορούν να διδαχθούν ως τρόπος αναπαράστασης των ενδόθερμων και εξώθερμων αντιδράσεων. </w:t>
      </w:r>
    </w:p>
    <w:p w:rsidR="00113563" w:rsidRPr="00440960" w:rsidRDefault="00113563" w:rsidP="00113563">
      <w:pPr>
        <w:jc w:val="both"/>
      </w:pPr>
      <w:r w:rsidRPr="00440960">
        <w:lastRenderedPageBreak/>
        <w:t>Οι στοιχειομετρικοί υπολογισμοί με βάση τη μεταβολή ενθαλπίας και τις θερμοχημικές εξισώσεις είναι εκτός ύλης.</w:t>
      </w:r>
    </w:p>
    <w:p w:rsidR="00113563" w:rsidRPr="00440960" w:rsidRDefault="00113563" w:rsidP="00113563">
      <w:pPr>
        <w:jc w:val="both"/>
      </w:pPr>
      <w:r w:rsidRPr="00440960">
        <w:rPr>
          <w:b/>
        </w:rPr>
        <w:t>Από τις ασκήσεις –προβλήματα να διδαχθούν</w:t>
      </w:r>
      <w:r w:rsidRPr="00440960">
        <w:t>:   11α, 11β, και 12α.</w:t>
      </w:r>
    </w:p>
    <w:p w:rsidR="00113563" w:rsidRPr="00440960" w:rsidRDefault="00113563" w:rsidP="00113563">
      <w:pPr>
        <w:jc w:val="both"/>
      </w:pPr>
    </w:p>
    <w:p w:rsidR="00113563" w:rsidRPr="00440960" w:rsidRDefault="00113563" w:rsidP="0011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outlineLvl w:val="3"/>
        <w:rPr>
          <w:rFonts w:eastAsia="Times New Roman"/>
          <w:bCs/>
          <w:sz w:val="24"/>
          <w:szCs w:val="24"/>
          <w:lang w:eastAsia="el-GR"/>
        </w:rPr>
      </w:pPr>
      <w:r w:rsidRPr="00440960">
        <w:rPr>
          <w:rFonts w:eastAsia="Times New Roman"/>
          <w:b/>
          <w:bCs/>
          <w:sz w:val="24"/>
          <w:szCs w:val="24"/>
          <w:lang w:eastAsia="el-GR"/>
        </w:rPr>
        <w:t xml:space="preserve">Κεφάλαιο 3. «ΧΗΜΙΚΗ ΚΙΝΗΤΙΚΗ» </w:t>
      </w:r>
      <w:r w:rsidRPr="00440960">
        <w:rPr>
          <w:rFonts w:eastAsia="Times New Roman"/>
          <w:bCs/>
          <w:sz w:val="24"/>
          <w:szCs w:val="24"/>
          <w:lang w:eastAsia="el-GR"/>
        </w:rPr>
        <w:t>(3 ώρες)</w:t>
      </w:r>
    </w:p>
    <w:p w:rsidR="00113563" w:rsidRPr="00440960" w:rsidRDefault="00113563" w:rsidP="00113563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</w:p>
    <w:p w:rsidR="00113563" w:rsidRPr="00440960" w:rsidRDefault="00113563" w:rsidP="00113563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  <w:r w:rsidRPr="00440960">
        <w:rPr>
          <w:rFonts w:eastAsia="Times New Roman"/>
          <w:b/>
          <w:sz w:val="24"/>
          <w:szCs w:val="24"/>
          <w:lang w:eastAsia="el-GR"/>
        </w:rPr>
        <w:t xml:space="preserve">Να διδαχθεί η  </w:t>
      </w:r>
      <w:r w:rsidRPr="00440960">
        <w:rPr>
          <w:rFonts w:eastAsia="Times New Roman" w:cs="JasmineUPC"/>
          <w:b/>
          <w:sz w:val="24"/>
          <w:szCs w:val="24"/>
          <w:lang w:eastAsia="el-GR"/>
        </w:rPr>
        <w:t>§</w:t>
      </w:r>
      <w:r w:rsidRPr="00440960">
        <w:rPr>
          <w:rFonts w:eastAsia="Times New Roman"/>
          <w:b/>
          <w:sz w:val="24"/>
          <w:szCs w:val="24"/>
          <w:lang w:eastAsia="el-GR"/>
        </w:rPr>
        <w:t>3.1. «</w:t>
      </w:r>
      <w:r w:rsidRPr="00440960">
        <w:rPr>
          <w:rFonts w:eastAsia="Times New Roman"/>
          <w:sz w:val="24"/>
          <w:szCs w:val="24"/>
          <w:lang w:eastAsia="el-GR"/>
        </w:rPr>
        <w:t xml:space="preserve">Γενικά για τη χημική κινητική και τη χημική αντίδραση - Ταχύτητα αντίδρασης», από την αρχή  </w:t>
      </w:r>
      <w:r w:rsidRPr="00440960">
        <w:rPr>
          <w:rFonts w:eastAsia="Times New Roman"/>
          <w:b/>
          <w:sz w:val="24"/>
          <w:szCs w:val="24"/>
          <w:lang w:eastAsia="el-GR"/>
        </w:rPr>
        <w:t>μέχρι και</w:t>
      </w:r>
      <w:r w:rsidRPr="00440960">
        <w:rPr>
          <w:rFonts w:eastAsia="Times New Roman"/>
          <w:sz w:val="24"/>
          <w:szCs w:val="24"/>
          <w:lang w:eastAsia="el-GR"/>
        </w:rPr>
        <w:t xml:space="preserve"> το 1ο Παράδειγμα με την Εφαρμογή του (σελ.75).</w:t>
      </w:r>
    </w:p>
    <w:p w:rsidR="00113563" w:rsidRPr="00440960" w:rsidRDefault="00113563" w:rsidP="00113563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</w:p>
    <w:p w:rsidR="00113563" w:rsidRPr="00440960" w:rsidRDefault="00113563" w:rsidP="00113563">
      <w:pPr>
        <w:spacing w:after="120"/>
        <w:jc w:val="both"/>
        <w:rPr>
          <w:rFonts w:eastAsia="Times New Roman"/>
        </w:rPr>
      </w:pPr>
      <w:r w:rsidRPr="00440960">
        <w:rPr>
          <w:rFonts w:eastAsia="Times New Roman"/>
        </w:rPr>
        <w:t xml:space="preserve">Το περιεχόμενο της παραγράφου αυτής είναι προαπαιτούμενο για το κεφάλαιο 4 (Χημική Ισορροπία). </w:t>
      </w:r>
    </w:p>
    <w:p w:rsidR="00113563" w:rsidRPr="00487A5D" w:rsidRDefault="00113563" w:rsidP="00113563">
      <w:pPr>
        <w:spacing w:after="120"/>
        <w:jc w:val="both"/>
        <w:rPr>
          <w:lang w:val="en-US"/>
        </w:rPr>
      </w:pPr>
      <w:r w:rsidRPr="00440960">
        <w:rPr>
          <w:b/>
        </w:rPr>
        <w:t>Προτείνεται να δοθεί έμφαση</w:t>
      </w:r>
      <w:r w:rsidRPr="00440960">
        <w:t xml:space="preserve"> στην εφαρμογή του ορισμού της μέσης  ταχύτητας και στην εξαγωγή </w:t>
      </w:r>
      <w:r w:rsidRPr="00440960">
        <w:rPr>
          <w:b/>
        </w:rPr>
        <w:t>ποιοτικών</w:t>
      </w:r>
      <w:r w:rsidRPr="00440960">
        <w:t xml:space="preserve"> πληροφοριών για την ταχύτητα και την πορεία της αντίδρασης από διαγράμματα συγκέντρωσης – χρόνου. </w:t>
      </w:r>
      <w:r w:rsidR="00487A5D">
        <w:rPr>
          <w:lang w:val="en-US"/>
        </w:rPr>
        <w:t>(</w:t>
      </w:r>
      <w:hyperlink r:id="rId10" w:history="1">
        <w:r w:rsidR="00487A5D" w:rsidRPr="00895AB0">
          <w:rPr>
            <w:rStyle w:val="-"/>
            <w:lang w:val="en-US"/>
          </w:rPr>
          <w:t>http://didefth.gr</w:t>
        </w:r>
      </w:hyperlink>
      <w:r w:rsidR="00487A5D">
        <w:rPr>
          <w:lang w:val="en-US"/>
        </w:rPr>
        <w:t xml:space="preserve"> )</w:t>
      </w:r>
    </w:p>
    <w:p w:rsidR="00113563" w:rsidRPr="00440960" w:rsidRDefault="00113563" w:rsidP="00113563">
      <w:pPr>
        <w:jc w:val="both"/>
      </w:pPr>
      <w:r w:rsidRPr="00440960">
        <w:rPr>
          <w:b/>
        </w:rPr>
        <w:t>Από τις ασκήσεις –προβλήματα να διδαχθούν</w:t>
      </w:r>
      <w:r w:rsidRPr="00440960">
        <w:t>:   22, 23, 24, 25, 26, 28, 29, 30, 31, 32 και 33.</w:t>
      </w:r>
    </w:p>
    <w:p w:rsidR="00113563" w:rsidRPr="00440960" w:rsidRDefault="00113563" w:rsidP="00113563">
      <w:pPr>
        <w:jc w:val="both"/>
      </w:pPr>
    </w:p>
    <w:p w:rsidR="00113563" w:rsidRPr="00440960" w:rsidRDefault="00113563" w:rsidP="0011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sz w:val="24"/>
          <w:szCs w:val="24"/>
          <w:lang w:eastAsia="el-GR"/>
        </w:rPr>
      </w:pPr>
      <w:r w:rsidRPr="00440960">
        <w:rPr>
          <w:rFonts w:eastAsia="Times New Roman"/>
          <w:b/>
          <w:bCs/>
          <w:sz w:val="24"/>
          <w:szCs w:val="24"/>
          <w:lang w:eastAsia="el-GR"/>
        </w:rPr>
        <w:t xml:space="preserve">Κεφάλαιο 4. «ΧΗΜΙΚΗ ΙΣΟΡΡΟΠΙΑ» </w:t>
      </w:r>
      <w:r w:rsidRPr="00440960">
        <w:rPr>
          <w:rFonts w:eastAsia="Times New Roman"/>
          <w:bCs/>
          <w:sz w:val="24"/>
          <w:szCs w:val="24"/>
          <w:lang w:eastAsia="el-GR"/>
        </w:rPr>
        <w:t>(12 ώρες)</w:t>
      </w:r>
    </w:p>
    <w:p w:rsidR="00113563" w:rsidRPr="00440960" w:rsidRDefault="00113563" w:rsidP="00113563">
      <w:pPr>
        <w:spacing w:after="0"/>
        <w:jc w:val="both"/>
        <w:rPr>
          <w:rFonts w:eastAsia="Times New Roman"/>
          <w:b/>
          <w:sz w:val="24"/>
          <w:szCs w:val="24"/>
          <w:lang w:eastAsia="el-GR"/>
        </w:rPr>
      </w:pPr>
    </w:p>
    <w:p w:rsidR="00113563" w:rsidRPr="00440960" w:rsidRDefault="00113563" w:rsidP="00113563">
      <w:pPr>
        <w:spacing w:after="0"/>
        <w:jc w:val="both"/>
        <w:rPr>
          <w:rFonts w:eastAsia="Times New Roman"/>
          <w:lang w:eastAsia="el-GR"/>
        </w:rPr>
      </w:pPr>
      <w:r w:rsidRPr="00440960">
        <w:rPr>
          <w:rFonts w:eastAsia="Times New Roman"/>
          <w:b/>
          <w:lang w:eastAsia="el-GR"/>
        </w:rPr>
        <w:t>Να διδαχθεί</w:t>
      </w:r>
      <w:r w:rsidRPr="00440960">
        <w:rPr>
          <w:rFonts w:eastAsia="Times New Roman"/>
          <w:lang w:eastAsia="el-GR"/>
        </w:rPr>
        <w:t xml:space="preserve"> η ύλη από τη σελ. 103 </w:t>
      </w:r>
      <w:r w:rsidRPr="00440960">
        <w:rPr>
          <w:rFonts w:eastAsia="Times New Roman"/>
          <w:b/>
          <w:lang w:eastAsia="el-GR"/>
        </w:rPr>
        <w:t>μέχρι</w:t>
      </w:r>
      <w:r w:rsidRPr="00440960">
        <w:rPr>
          <w:rFonts w:eastAsia="Times New Roman"/>
          <w:lang w:eastAsia="el-GR"/>
        </w:rPr>
        <w:t xml:space="preserve"> την υποενότητα «Κινητική απόδειξη του νόμου χημικής ισορροπίας» στη σελ. 112.</w:t>
      </w:r>
    </w:p>
    <w:p w:rsidR="00113563" w:rsidRPr="00440960" w:rsidRDefault="00113563" w:rsidP="00113563">
      <w:pPr>
        <w:spacing w:after="120"/>
        <w:jc w:val="both"/>
      </w:pPr>
      <w:r w:rsidRPr="00440960">
        <w:rPr>
          <w:b/>
        </w:rPr>
        <w:t>Κατά τη διδασκαλία της</w:t>
      </w:r>
      <w:r w:rsidRPr="00440960">
        <w:t xml:space="preserve"> </w:t>
      </w:r>
      <w:r w:rsidRPr="00440960">
        <w:rPr>
          <w:rFonts w:eastAsia="Times New Roman"/>
          <w:b/>
        </w:rPr>
        <w:t>§4.1</w:t>
      </w:r>
      <w:r w:rsidRPr="00440960">
        <w:rPr>
          <w:rFonts w:eastAsia="Times New Roman"/>
        </w:rPr>
        <w:t xml:space="preserve"> </w:t>
      </w:r>
      <w:r w:rsidRPr="00440960">
        <w:t xml:space="preserve">προτείνεται να δοθεί ιδιαίτερο βάρος στα χαρακτηριστικά της χημικής ισορροπίας και σε υπολογισμούς που συνδέουν την τιμή της απόδοσης μιας αντίδρασης με τις ποσότητες των αντιδρώντων και των προϊόντων της. </w:t>
      </w:r>
    </w:p>
    <w:p w:rsidR="00113563" w:rsidRPr="00440960" w:rsidRDefault="00113563" w:rsidP="00113563">
      <w:pPr>
        <w:spacing w:after="120"/>
        <w:jc w:val="both"/>
      </w:pPr>
      <w:r w:rsidRPr="00440960">
        <w:rPr>
          <w:b/>
        </w:rPr>
        <w:t>Από τις ασκήσεις –προβλήματα να διδαχθούν</w:t>
      </w:r>
      <w:r w:rsidRPr="00440960">
        <w:t>:   10, 11, 12, 13, 14, 15 και 16.</w:t>
      </w:r>
    </w:p>
    <w:p w:rsidR="00113563" w:rsidRPr="00440960" w:rsidRDefault="00113563" w:rsidP="00113563">
      <w:pPr>
        <w:spacing w:after="120"/>
        <w:jc w:val="both"/>
      </w:pPr>
      <w:r w:rsidRPr="00440960">
        <w:rPr>
          <w:b/>
        </w:rPr>
        <w:t>Κατά τη διδασκαλία της</w:t>
      </w:r>
      <w:r w:rsidRPr="00440960">
        <w:t xml:space="preserve"> </w:t>
      </w:r>
      <w:r w:rsidRPr="00440960">
        <w:rPr>
          <w:rFonts w:eastAsia="Times New Roman"/>
          <w:b/>
        </w:rPr>
        <w:t>§4.2</w:t>
      </w:r>
      <w:r w:rsidRPr="00440960">
        <w:rPr>
          <w:rFonts w:eastAsia="Times New Roman"/>
        </w:rPr>
        <w:t xml:space="preserve"> </w:t>
      </w:r>
      <w:r w:rsidRPr="00440960">
        <w:t>προτείνεται να δοθεί έμφαση στον τρόπο που επηρεάζουν τη θέση μιας χημικής ισορροπίας οι παράγοντες (συντελεστές) της χημικής ισορροπίας με βάση την αρχή Le Chatelier.</w:t>
      </w:r>
    </w:p>
    <w:p w:rsidR="00113563" w:rsidRPr="00440960" w:rsidRDefault="00113563" w:rsidP="00113563">
      <w:pPr>
        <w:spacing w:after="120"/>
        <w:jc w:val="both"/>
      </w:pPr>
      <w:r w:rsidRPr="00440960">
        <w:rPr>
          <w:b/>
        </w:rPr>
        <w:t>Από τις ασκήσεις –προβλήματα να διδαχθούν</w:t>
      </w:r>
      <w:r w:rsidRPr="00440960">
        <w:t>:   20, 21, 22, 23, 24, 25 και 26.</w:t>
      </w:r>
    </w:p>
    <w:p w:rsidR="00113563" w:rsidRPr="00440960" w:rsidRDefault="00113563" w:rsidP="00113563">
      <w:pPr>
        <w:spacing w:after="120"/>
        <w:jc w:val="both"/>
        <w:rPr>
          <w:rFonts w:eastAsia="Times New Roman"/>
        </w:rPr>
      </w:pPr>
      <w:r w:rsidRPr="00440960">
        <w:rPr>
          <w:b/>
        </w:rPr>
        <w:t>Κατά τη διδασκαλία της</w:t>
      </w:r>
      <w:r w:rsidRPr="00440960">
        <w:t xml:space="preserve"> </w:t>
      </w:r>
      <w:r w:rsidRPr="00440960">
        <w:rPr>
          <w:rFonts w:eastAsia="Times New Roman"/>
          <w:b/>
        </w:rPr>
        <w:t>§4.3</w:t>
      </w:r>
      <w:r w:rsidRPr="00440960">
        <w:rPr>
          <w:rFonts w:eastAsia="Times New Roman"/>
        </w:rPr>
        <w:t xml:space="preserve"> </w:t>
      </w:r>
      <w:r w:rsidRPr="00440960">
        <w:t>προτείνεται να δοθεί βάρος στην επίλυση προβλημάτων στα οποία συνδέονται μερικά από τα ακόλουθα μεγέθη: η απόδοση αντίδρασης, η σταθερά ισορροπίας (K</w:t>
      </w:r>
      <w:r w:rsidRPr="00440960">
        <w:rPr>
          <w:vertAlign w:val="subscript"/>
        </w:rPr>
        <w:t>C</w:t>
      </w:r>
      <w:r w:rsidRPr="00440960">
        <w:t xml:space="preserve">), οι ποσότητες των αντιδρώντων ή προϊόντων και ο όγκος του δοχείου αντίδρασης. </w:t>
      </w:r>
    </w:p>
    <w:p w:rsidR="00113563" w:rsidRPr="00440960" w:rsidRDefault="00113563" w:rsidP="00113563">
      <w:pPr>
        <w:spacing w:after="120"/>
        <w:jc w:val="both"/>
      </w:pPr>
      <w:r w:rsidRPr="00440960">
        <w:rPr>
          <w:b/>
        </w:rPr>
        <w:t>Να διδαχθούν τα παραδείγματα</w:t>
      </w:r>
      <w:r w:rsidRPr="00440960">
        <w:t>: 4.4, 4.5, 4,6, 4.9, 4.10 και 4.11.</w:t>
      </w:r>
    </w:p>
    <w:p w:rsidR="00113563" w:rsidRPr="00440960" w:rsidRDefault="00113563" w:rsidP="00113563">
      <w:pPr>
        <w:spacing w:after="120"/>
        <w:jc w:val="both"/>
      </w:pPr>
      <w:r w:rsidRPr="00440960">
        <w:rPr>
          <w:b/>
        </w:rPr>
        <w:t>Από τις ασκήσεις –προβλήματα να διδαχθούν</w:t>
      </w:r>
      <w:r w:rsidRPr="00440960">
        <w:t xml:space="preserve">:   27, 28, 29, 31, 32, 33, 34, 36, 37, 39, 41, 42, 44, </w:t>
      </w:r>
      <w:bookmarkStart w:id="0" w:name="_GoBack"/>
      <w:bookmarkEnd w:id="0"/>
      <w:r w:rsidRPr="00440960">
        <w:t>50 και 51.</w:t>
      </w:r>
    </w:p>
    <w:p w:rsidR="00113563" w:rsidRPr="00440960" w:rsidRDefault="00113563" w:rsidP="00113563">
      <w:pPr>
        <w:spacing w:after="0"/>
        <w:jc w:val="both"/>
        <w:rPr>
          <w:rFonts w:eastAsia="Times New Roman"/>
          <w:sz w:val="24"/>
          <w:szCs w:val="24"/>
          <w:lang w:eastAsia="el-GR"/>
        </w:rPr>
      </w:pPr>
    </w:p>
    <w:p w:rsidR="00113563" w:rsidRPr="00440960" w:rsidRDefault="00113563" w:rsidP="0011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sz w:val="24"/>
          <w:szCs w:val="24"/>
          <w:lang w:eastAsia="el-GR"/>
        </w:rPr>
      </w:pPr>
      <w:r w:rsidRPr="00440960">
        <w:rPr>
          <w:rFonts w:eastAsia="Times New Roman"/>
          <w:b/>
          <w:bCs/>
          <w:sz w:val="24"/>
          <w:szCs w:val="24"/>
          <w:lang w:eastAsia="el-GR"/>
        </w:rPr>
        <w:t xml:space="preserve">Κεφάλαιο 5. «ΟΞΕΑ – ΒΑΣΕΙΣ ΚΑΙ ΙΟΝΤΙΚΗ ΙΣΟΡΡΟΠΙΑ» </w:t>
      </w:r>
      <w:r w:rsidRPr="00440960">
        <w:rPr>
          <w:rFonts w:eastAsia="Times New Roman"/>
          <w:bCs/>
          <w:sz w:val="24"/>
          <w:szCs w:val="24"/>
          <w:lang w:eastAsia="el-GR"/>
        </w:rPr>
        <w:t>( 20 ώρες)</w:t>
      </w:r>
    </w:p>
    <w:p w:rsidR="00113563" w:rsidRPr="00440960" w:rsidRDefault="00113563" w:rsidP="00113563">
      <w:pPr>
        <w:spacing w:after="0"/>
        <w:rPr>
          <w:rFonts w:eastAsia="Times New Roman"/>
          <w:b/>
          <w:sz w:val="24"/>
          <w:szCs w:val="24"/>
          <w:lang w:eastAsia="el-GR"/>
        </w:rPr>
      </w:pPr>
      <w:r w:rsidRPr="00440960">
        <w:rPr>
          <w:rFonts w:eastAsia="Times New Roman"/>
          <w:b/>
          <w:sz w:val="24"/>
          <w:szCs w:val="24"/>
          <w:lang w:eastAsia="el-GR"/>
        </w:rPr>
        <w:t>ΕKTΟΣ ΑΠΟ:</w:t>
      </w:r>
    </w:p>
    <w:p w:rsidR="00113563" w:rsidRPr="00440960" w:rsidRDefault="00113563" w:rsidP="00113563">
      <w:pPr>
        <w:numPr>
          <w:ilvl w:val="0"/>
          <w:numId w:val="13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</w:rPr>
        <w:t xml:space="preserve">Την υποενότητα «Ισχύς οξέων – βάσεων και μοριακή δομή» της </w:t>
      </w:r>
      <w:r w:rsidRPr="00440960">
        <w:rPr>
          <w:rFonts w:eastAsia="Times New Roman" w:cs="JasmineUPC"/>
        </w:rPr>
        <w:t>§</w:t>
      </w:r>
      <w:r w:rsidRPr="00440960">
        <w:rPr>
          <w:rFonts w:eastAsia="Times New Roman"/>
        </w:rPr>
        <w:t xml:space="preserve"> 5.2.  «Ιοντισμός οξέων – βάσεων» και</w:t>
      </w:r>
    </w:p>
    <w:p w:rsidR="00113563" w:rsidRPr="00440960" w:rsidRDefault="00113563" w:rsidP="00113563">
      <w:pPr>
        <w:numPr>
          <w:ilvl w:val="0"/>
          <w:numId w:val="13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</w:rPr>
        <w:t xml:space="preserve">Την </w:t>
      </w:r>
      <w:r w:rsidRPr="00440960">
        <w:rPr>
          <w:rFonts w:eastAsia="Times New Roman" w:cs="JasmineUPC"/>
        </w:rPr>
        <w:t>§</w:t>
      </w:r>
      <w:r w:rsidRPr="00440960">
        <w:rPr>
          <w:rFonts w:eastAsia="Times New Roman"/>
        </w:rPr>
        <w:t xml:space="preserve"> 5.7.  «Γινόμενο διαλυτότητας».</w:t>
      </w:r>
    </w:p>
    <w:p w:rsidR="00113563" w:rsidRPr="00440960" w:rsidRDefault="00113563" w:rsidP="00113563">
      <w:pPr>
        <w:spacing w:after="0"/>
        <w:outlineLvl w:val="3"/>
        <w:rPr>
          <w:rFonts w:eastAsia="Times New Roman"/>
          <w:b/>
          <w:bCs/>
          <w:sz w:val="24"/>
          <w:szCs w:val="24"/>
          <w:lang w:eastAsia="el-GR"/>
        </w:rPr>
      </w:pPr>
    </w:p>
    <w:p w:rsidR="00113563" w:rsidRPr="00440960" w:rsidRDefault="00113563" w:rsidP="0011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sz w:val="24"/>
          <w:szCs w:val="24"/>
          <w:lang w:eastAsia="el-GR"/>
        </w:rPr>
      </w:pPr>
      <w:r w:rsidRPr="00440960">
        <w:rPr>
          <w:rFonts w:eastAsia="Times New Roman"/>
          <w:b/>
          <w:bCs/>
          <w:sz w:val="24"/>
          <w:szCs w:val="24"/>
          <w:lang w:eastAsia="el-GR"/>
        </w:rPr>
        <w:t xml:space="preserve">Κεφάλαιο 6. «ΗΛΕΚΤΡΟΝΙΑΚΗ ΔΟΜΗ ΤΩΝ ΑΤΟΜΩΝ &amp; ΠΕΡΙΟΔΙΚΟΣ ΠΙΝΑΚΑΣ» </w:t>
      </w:r>
      <w:r w:rsidRPr="00440960">
        <w:rPr>
          <w:rFonts w:eastAsia="Times New Roman"/>
          <w:bCs/>
          <w:sz w:val="24"/>
          <w:szCs w:val="24"/>
          <w:lang w:eastAsia="el-GR"/>
        </w:rPr>
        <w:t>(10 ώρες)</w:t>
      </w:r>
    </w:p>
    <w:p w:rsidR="00113563" w:rsidRPr="00440960" w:rsidRDefault="00113563" w:rsidP="00113563">
      <w:pPr>
        <w:spacing w:after="0"/>
        <w:rPr>
          <w:rFonts w:eastAsia="Times New Roman"/>
          <w:b/>
          <w:sz w:val="24"/>
          <w:szCs w:val="24"/>
          <w:lang w:eastAsia="el-GR"/>
        </w:rPr>
      </w:pPr>
      <w:r w:rsidRPr="00440960">
        <w:rPr>
          <w:rFonts w:eastAsia="Times New Roman"/>
          <w:b/>
          <w:sz w:val="24"/>
          <w:szCs w:val="24"/>
          <w:lang w:eastAsia="el-GR"/>
        </w:rPr>
        <w:t>ΕKTΟΣ ΑΠΟ:</w:t>
      </w:r>
    </w:p>
    <w:p w:rsidR="00113563" w:rsidRPr="00440960" w:rsidRDefault="00113563" w:rsidP="00113563">
      <w:pPr>
        <w:numPr>
          <w:ilvl w:val="0"/>
          <w:numId w:val="14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</w:rPr>
        <w:t xml:space="preserve">Την υποενότητα «Ηλεκτροσυγγένεια» της </w:t>
      </w:r>
      <w:r w:rsidRPr="00440960">
        <w:rPr>
          <w:rFonts w:eastAsia="Times New Roman" w:cs="JasmineUPC"/>
        </w:rPr>
        <w:t>§</w:t>
      </w:r>
      <w:r w:rsidRPr="00440960">
        <w:rPr>
          <w:rFonts w:eastAsia="Times New Roman"/>
        </w:rPr>
        <w:t xml:space="preserve"> 6.4.  «Μεταβολή ορισμένων περιοδικών ιδιοτήτων» και </w:t>
      </w:r>
    </w:p>
    <w:p w:rsidR="00113563" w:rsidRPr="00440960" w:rsidRDefault="00113563" w:rsidP="00113563">
      <w:pPr>
        <w:numPr>
          <w:ilvl w:val="0"/>
          <w:numId w:val="14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</w:rPr>
        <w:t xml:space="preserve">Την </w:t>
      </w:r>
      <w:r w:rsidRPr="00440960">
        <w:rPr>
          <w:rFonts w:eastAsia="Times New Roman" w:cs="JasmineUPC"/>
        </w:rPr>
        <w:t>§</w:t>
      </w:r>
      <w:r w:rsidRPr="00440960">
        <w:rPr>
          <w:rFonts w:eastAsia="Times New Roman"/>
        </w:rPr>
        <w:t xml:space="preserve"> 6.5.  «Ηλεκτρονιακοί τύποι - Σχήματα μορίων».</w:t>
      </w:r>
    </w:p>
    <w:p w:rsidR="00113563" w:rsidRPr="00440960" w:rsidRDefault="00113563" w:rsidP="00113563">
      <w:pPr>
        <w:spacing w:after="0"/>
        <w:ind w:left="720"/>
        <w:contextualSpacing/>
        <w:rPr>
          <w:rFonts w:eastAsia="Times New Roman"/>
        </w:rPr>
      </w:pPr>
    </w:p>
    <w:p w:rsidR="00113563" w:rsidRPr="00440960" w:rsidRDefault="00113563" w:rsidP="00113563">
      <w:pPr>
        <w:spacing w:after="0"/>
        <w:outlineLvl w:val="3"/>
        <w:rPr>
          <w:rFonts w:eastAsia="Times New Roman"/>
          <w:b/>
          <w:bCs/>
          <w:sz w:val="24"/>
          <w:szCs w:val="24"/>
          <w:lang w:eastAsia="el-GR"/>
        </w:rPr>
      </w:pPr>
    </w:p>
    <w:p w:rsidR="00113563" w:rsidRPr="00440960" w:rsidRDefault="00113563" w:rsidP="001135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eastAsia="Times New Roman"/>
          <w:sz w:val="24"/>
          <w:szCs w:val="24"/>
          <w:lang w:eastAsia="el-GR"/>
        </w:rPr>
      </w:pPr>
      <w:r w:rsidRPr="00440960">
        <w:rPr>
          <w:rFonts w:eastAsia="Times New Roman"/>
          <w:b/>
          <w:bCs/>
          <w:sz w:val="24"/>
          <w:szCs w:val="24"/>
          <w:lang w:eastAsia="el-GR"/>
        </w:rPr>
        <w:t xml:space="preserve">Κεφάλαιο 7. «ΟΡΓΑΝΙΚΗ ΧΗΜΕΙΑ» </w:t>
      </w:r>
      <w:r w:rsidRPr="00440960">
        <w:rPr>
          <w:rFonts w:eastAsia="Times New Roman"/>
          <w:bCs/>
          <w:sz w:val="24"/>
          <w:szCs w:val="24"/>
          <w:lang w:eastAsia="el-GR"/>
        </w:rPr>
        <w:t>(14 ώρες)</w:t>
      </w:r>
    </w:p>
    <w:p w:rsidR="00113563" w:rsidRPr="00440960" w:rsidRDefault="00113563" w:rsidP="00113563">
      <w:pPr>
        <w:spacing w:after="0"/>
        <w:rPr>
          <w:rFonts w:eastAsia="Times New Roman"/>
          <w:b/>
          <w:sz w:val="24"/>
          <w:szCs w:val="24"/>
          <w:lang w:eastAsia="el-GR"/>
        </w:rPr>
      </w:pPr>
      <w:r w:rsidRPr="00440960">
        <w:rPr>
          <w:rFonts w:eastAsia="Times New Roman"/>
          <w:b/>
          <w:sz w:val="24"/>
          <w:szCs w:val="24"/>
          <w:lang w:eastAsia="el-GR"/>
        </w:rPr>
        <w:t>ΕKTΟΣ ΑΠΟ:</w:t>
      </w:r>
    </w:p>
    <w:p w:rsidR="00113563" w:rsidRPr="00440960" w:rsidRDefault="00113563" w:rsidP="00113563">
      <w:pPr>
        <w:numPr>
          <w:ilvl w:val="0"/>
          <w:numId w:val="15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</w:rPr>
        <w:t xml:space="preserve">Την υποενότητα «Επαγωγικό φαινόμενο» της </w:t>
      </w:r>
      <w:r w:rsidRPr="00440960">
        <w:rPr>
          <w:rFonts w:eastAsia="Times New Roman" w:cs="JasmineUPC"/>
        </w:rPr>
        <w:t>§</w:t>
      </w:r>
      <w:r w:rsidRPr="00440960">
        <w:rPr>
          <w:rFonts w:eastAsia="Times New Roman"/>
        </w:rPr>
        <w:t xml:space="preserve"> 7.1.   «Δομή οργανικών ενώσεων - Διπλός και τριπλός δεσμός - Επαγωγικό φαινόμενο»,</w:t>
      </w:r>
    </w:p>
    <w:p w:rsidR="00113563" w:rsidRPr="00440960" w:rsidRDefault="00113563" w:rsidP="00113563">
      <w:pPr>
        <w:numPr>
          <w:ilvl w:val="0"/>
          <w:numId w:val="15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</w:rPr>
        <w:t xml:space="preserve">Την </w:t>
      </w:r>
      <w:r w:rsidRPr="00440960">
        <w:rPr>
          <w:rFonts w:eastAsia="Times New Roman" w:cs="JasmineUPC"/>
        </w:rPr>
        <w:t>§</w:t>
      </w:r>
      <w:r w:rsidRPr="00440960">
        <w:rPr>
          <w:rFonts w:eastAsia="Times New Roman"/>
        </w:rPr>
        <w:t xml:space="preserve"> 7.2.   «Στερεοϊσομέρεια (εναντιοστερεομέρεια και διαστερεομέρεια)»,</w:t>
      </w:r>
    </w:p>
    <w:p w:rsidR="00113563" w:rsidRPr="00440960" w:rsidRDefault="00113563" w:rsidP="00113563">
      <w:pPr>
        <w:numPr>
          <w:ilvl w:val="0"/>
          <w:numId w:val="15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</w:rPr>
        <w:t xml:space="preserve">Τις υποενότητες «Η αρωματική υποκατάσταση» (στις σελ. 285-286) και «Μερικοί μηχανισμοί οργανικών αντιδράσεων» (σελ. 294-300) της </w:t>
      </w:r>
      <w:r w:rsidRPr="00440960">
        <w:rPr>
          <w:rFonts w:eastAsia="Times New Roman" w:cs="JasmineUPC"/>
        </w:rPr>
        <w:t>§</w:t>
      </w:r>
      <w:r w:rsidRPr="00440960">
        <w:rPr>
          <w:rFonts w:eastAsia="Times New Roman"/>
        </w:rPr>
        <w:t xml:space="preserve"> 7.3. «Κατηγορίες οργανικών αντιδράσεων και μερικοί μηχανισμοί οργανικών αντιδράσεων», </w:t>
      </w:r>
    </w:p>
    <w:p w:rsidR="00113563" w:rsidRPr="00440960" w:rsidRDefault="00113563" w:rsidP="00113563">
      <w:pPr>
        <w:numPr>
          <w:ilvl w:val="0"/>
          <w:numId w:val="15"/>
        </w:numPr>
        <w:spacing w:after="0" w:line="276" w:lineRule="auto"/>
        <w:contextualSpacing/>
        <w:rPr>
          <w:rFonts w:eastAsia="Times New Roman"/>
        </w:rPr>
      </w:pPr>
      <w:r w:rsidRPr="00440960">
        <w:rPr>
          <w:rFonts w:eastAsia="Times New Roman"/>
        </w:rPr>
        <w:t xml:space="preserve">Την υποενότητα «Οργανικές συνθέσεις» της </w:t>
      </w:r>
      <w:r w:rsidRPr="00440960">
        <w:rPr>
          <w:rFonts w:eastAsia="Times New Roman" w:cs="JasmineUPC"/>
        </w:rPr>
        <w:t>§</w:t>
      </w:r>
      <w:r w:rsidRPr="00440960">
        <w:rPr>
          <w:rFonts w:eastAsia="Times New Roman"/>
        </w:rPr>
        <w:t xml:space="preserve"> 7.4.  «Οργανικές συνθέσεις –Διακρίσεις», </w:t>
      </w:r>
      <w:r w:rsidRPr="00440960">
        <w:rPr>
          <w:rFonts w:eastAsia="Times New Roman"/>
          <w:b/>
          <w:bCs/>
          <w:u w:val="single"/>
        </w:rPr>
        <w:t xml:space="preserve"> με εξαίρεση</w:t>
      </w:r>
      <w:r w:rsidRPr="00440960">
        <w:rPr>
          <w:rFonts w:eastAsia="Times New Roman"/>
        </w:rPr>
        <w:t xml:space="preserve"> την αλογονοφορμική αντίδραση που θα διδαχθεί.</w:t>
      </w:r>
    </w:p>
    <w:p w:rsidR="00113563" w:rsidRPr="00440960" w:rsidRDefault="00113563" w:rsidP="00113563">
      <w:pPr>
        <w:spacing w:after="0"/>
        <w:rPr>
          <w:rFonts w:cs="Calibri"/>
          <w:sz w:val="24"/>
          <w:szCs w:val="24"/>
          <w:lang w:eastAsia="el-GR"/>
        </w:rPr>
      </w:pPr>
    </w:p>
    <w:p w:rsidR="00113563" w:rsidRPr="00440960" w:rsidRDefault="00113563" w:rsidP="00113563">
      <w:pPr>
        <w:spacing w:after="0"/>
        <w:jc w:val="both"/>
        <w:rPr>
          <w:b/>
        </w:rPr>
      </w:pPr>
    </w:p>
    <w:p w:rsidR="004C61D0" w:rsidRPr="00440960" w:rsidRDefault="004C61D0" w:rsidP="00F931A5">
      <w:pPr>
        <w:spacing w:after="0" w:line="240" w:lineRule="auto"/>
      </w:pPr>
    </w:p>
    <w:p w:rsidR="0053721F" w:rsidRPr="00440960" w:rsidRDefault="0053721F" w:rsidP="00BE7714">
      <w:pPr>
        <w:pStyle w:val="a6"/>
        <w:tabs>
          <w:tab w:val="left" w:pos="0"/>
        </w:tabs>
        <w:ind w:left="567" w:hanging="567"/>
        <w:jc w:val="both"/>
        <w:rPr>
          <w:rFonts w:ascii="Arial" w:eastAsia="Times New Roman" w:hAnsi="Arial" w:cs="Arial"/>
          <w:b/>
          <w:u w:val="single"/>
          <w:lang w:eastAsia="el-GR"/>
        </w:rPr>
      </w:pPr>
      <w:r w:rsidRPr="00440960">
        <w:rPr>
          <w:rFonts w:ascii="Arial" w:eastAsia="Times New Roman" w:hAnsi="Arial" w:cs="Arial"/>
          <w:b/>
          <w:u w:val="single"/>
          <w:lang w:eastAsia="el-GR"/>
        </w:rPr>
        <w:t>Οι διδάσκοντες να ενημερωθούν ενυπόγραφα.</w:t>
      </w:r>
    </w:p>
    <w:p w:rsidR="0053721F" w:rsidRPr="00440960" w:rsidRDefault="0053721F" w:rsidP="0053721F">
      <w:pPr>
        <w:tabs>
          <w:tab w:val="left" w:pos="142"/>
        </w:tabs>
        <w:spacing w:line="276" w:lineRule="auto"/>
        <w:ind w:left="-426" w:right="142" w:firstLine="71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C16D36" w:rsidRPr="00440960" w:rsidRDefault="00C16D36" w:rsidP="004C61D0">
      <w:pPr>
        <w:framePr w:w="4432" w:h="1474" w:hSpace="180" w:wrap="auto" w:vAnchor="text" w:hAnchor="page" w:x="6301" w:y="634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40960">
        <w:rPr>
          <w:rFonts w:ascii="Arial" w:hAnsi="Arial" w:cs="Arial"/>
          <w:b/>
          <w:sz w:val="20"/>
        </w:rPr>
        <w:t>Ο ΥΠΟΥΡΓΟΣ</w:t>
      </w:r>
    </w:p>
    <w:p w:rsidR="00C16D36" w:rsidRPr="00440960" w:rsidRDefault="00C16D36" w:rsidP="004C61D0">
      <w:pPr>
        <w:framePr w:w="4432" w:h="1474" w:hSpace="180" w:wrap="auto" w:vAnchor="text" w:hAnchor="page" w:x="6301" w:y="634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40960">
        <w:rPr>
          <w:rFonts w:ascii="Arial" w:hAnsi="Arial" w:cs="Arial"/>
          <w:b/>
          <w:sz w:val="20"/>
        </w:rPr>
        <w:t>ΠΑΙΔΕΙΑΣ, ΕΡΕΥΝΑΣ ΚΑΙ ΘΡΗΣΚΕΥΜΑΤΩΝ</w:t>
      </w:r>
    </w:p>
    <w:p w:rsidR="00C16D36" w:rsidRPr="00440960" w:rsidRDefault="00C16D36" w:rsidP="004C61D0">
      <w:pPr>
        <w:framePr w:w="4432" w:h="1474" w:hSpace="180" w:wrap="auto" w:vAnchor="text" w:hAnchor="page" w:x="6301" w:y="634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16D36" w:rsidRPr="00440960" w:rsidRDefault="00C16D36" w:rsidP="004C61D0">
      <w:pPr>
        <w:framePr w:w="4432" w:h="1474" w:hSpace="180" w:wrap="auto" w:vAnchor="text" w:hAnchor="page" w:x="6301" w:y="634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C16D36" w:rsidRPr="00440960" w:rsidRDefault="00C16D36" w:rsidP="004C61D0">
      <w:pPr>
        <w:framePr w:w="4432" w:h="1474" w:hSpace="180" w:wrap="auto" w:vAnchor="text" w:hAnchor="page" w:x="6301" w:y="634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440960">
        <w:rPr>
          <w:rFonts w:ascii="Arial" w:hAnsi="Arial" w:cs="Arial"/>
          <w:b/>
          <w:sz w:val="20"/>
        </w:rPr>
        <w:t>ΝΙΚΟΛΑΟΣ ΦΙΛΗΣ</w:t>
      </w:r>
    </w:p>
    <w:p w:rsidR="0053721F" w:rsidRPr="00440960" w:rsidRDefault="0053721F" w:rsidP="0053721F">
      <w:pPr>
        <w:tabs>
          <w:tab w:val="left" w:pos="142"/>
        </w:tabs>
        <w:spacing w:line="276" w:lineRule="auto"/>
        <w:ind w:left="-426" w:right="142" w:firstLine="71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53721F" w:rsidRPr="00440960" w:rsidRDefault="0053721F" w:rsidP="0053721F">
      <w:pPr>
        <w:tabs>
          <w:tab w:val="left" w:pos="142"/>
        </w:tabs>
        <w:spacing w:line="276" w:lineRule="auto"/>
        <w:ind w:left="-426" w:right="142" w:firstLine="710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F24B8" w:rsidRPr="00440960" w:rsidRDefault="007F24B8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4C61D0" w:rsidRDefault="004C61D0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56614A" w:rsidRDefault="0056614A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56614A" w:rsidRDefault="0056614A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56614A" w:rsidRDefault="0056614A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56614A" w:rsidRDefault="0056614A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56614A" w:rsidRDefault="0056614A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56614A" w:rsidRDefault="0056614A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56614A" w:rsidRDefault="0056614A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56614A" w:rsidRDefault="0056614A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56614A" w:rsidRDefault="0056614A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56614A" w:rsidRPr="00440960" w:rsidRDefault="0056614A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4C61D0" w:rsidRPr="00440960" w:rsidRDefault="004C61D0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  <w:lang w:val="en-US"/>
        </w:rPr>
      </w:pPr>
    </w:p>
    <w:p w:rsidR="0053721F" w:rsidRPr="00440960" w:rsidRDefault="0053721F" w:rsidP="0053721F">
      <w:pPr>
        <w:tabs>
          <w:tab w:val="left" w:pos="142"/>
        </w:tabs>
        <w:spacing w:after="0" w:line="240" w:lineRule="auto"/>
        <w:ind w:left="-425" w:right="142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440960">
        <w:rPr>
          <w:rFonts w:ascii="Arial" w:hAnsi="Arial" w:cs="Arial"/>
          <w:b/>
          <w:sz w:val="18"/>
          <w:szCs w:val="18"/>
          <w:u w:val="single"/>
        </w:rPr>
        <w:t>Εσωτ. Διανομή</w:t>
      </w:r>
      <w:r w:rsidRPr="00440960">
        <w:rPr>
          <w:rFonts w:ascii="Arial" w:hAnsi="Arial" w:cs="Arial"/>
          <w:sz w:val="18"/>
          <w:szCs w:val="18"/>
        </w:rPr>
        <w:t xml:space="preserve">                                                 </w:t>
      </w:r>
    </w:p>
    <w:p w:rsidR="0053721F" w:rsidRPr="00440960" w:rsidRDefault="0053721F" w:rsidP="0053721F">
      <w:pPr>
        <w:numPr>
          <w:ilvl w:val="0"/>
          <w:numId w:val="9"/>
        </w:numPr>
        <w:tabs>
          <w:tab w:val="left" w:pos="-142"/>
          <w:tab w:val="left" w:pos="284"/>
          <w:tab w:val="left" w:pos="567"/>
        </w:tabs>
        <w:spacing w:after="0" w:line="240" w:lineRule="auto"/>
        <w:ind w:left="-425" w:right="-360" w:firstLine="0"/>
        <w:jc w:val="both"/>
        <w:rPr>
          <w:rFonts w:ascii="Arial" w:hAnsi="Arial" w:cs="Arial"/>
          <w:sz w:val="18"/>
          <w:szCs w:val="18"/>
        </w:rPr>
      </w:pPr>
      <w:r w:rsidRPr="00440960">
        <w:rPr>
          <w:rFonts w:ascii="Arial" w:hAnsi="Arial" w:cs="Arial"/>
          <w:sz w:val="18"/>
          <w:szCs w:val="18"/>
        </w:rPr>
        <w:t>Δ/νση Σπουδών, Προγρ/των &amp; Οργάνωσης Δ.Ε., Τμ. Α΄</w:t>
      </w:r>
    </w:p>
    <w:p w:rsidR="0053721F" w:rsidRPr="00440960" w:rsidRDefault="0053721F" w:rsidP="0053721F">
      <w:pPr>
        <w:numPr>
          <w:ilvl w:val="0"/>
          <w:numId w:val="9"/>
        </w:numPr>
        <w:tabs>
          <w:tab w:val="left" w:pos="-142"/>
          <w:tab w:val="left" w:pos="284"/>
          <w:tab w:val="left" w:pos="567"/>
        </w:tabs>
        <w:spacing w:after="0" w:line="240" w:lineRule="auto"/>
        <w:ind w:left="-425" w:right="-360" w:firstLine="0"/>
        <w:jc w:val="both"/>
        <w:rPr>
          <w:rFonts w:ascii="Arial" w:hAnsi="Arial" w:cs="Arial"/>
          <w:sz w:val="18"/>
          <w:szCs w:val="18"/>
        </w:rPr>
      </w:pPr>
      <w:r w:rsidRPr="00440960">
        <w:rPr>
          <w:rFonts w:ascii="Arial" w:hAnsi="Arial" w:cs="Arial"/>
          <w:sz w:val="18"/>
          <w:szCs w:val="18"/>
        </w:rPr>
        <w:t>Αυτ. Δ/νση Παιδείας, Ομογ., Διαπολ. Εκπ/σης, Ξένων και Μειον. Σχολείων</w:t>
      </w:r>
    </w:p>
    <w:p w:rsidR="0053721F" w:rsidRPr="00440960" w:rsidRDefault="0053721F" w:rsidP="0053721F">
      <w:pPr>
        <w:numPr>
          <w:ilvl w:val="0"/>
          <w:numId w:val="9"/>
        </w:numPr>
        <w:tabs>
          <w:tab w:val="left" w:pos="-142"/>
          <w:tab w:val="left" w:pos="284"/>
          <w:tab w:val="left" w:pos="567"/>
        </w:tabs>
        <w:spacing w:after="0" w:line="240" w:lineRule="auto"/>
        <w:ind w:left="-425" w:right="-360" w:firstLine="0"/>
        <w:jc w:val="both"/>
        <w:rPr>
          <w:rFonts w:ascii="Arial" w:hAnsi="Arial" w:cs="Arial"/>
          <w:sz w:val="18"/>
          <w:szCs w:val="18"/>
        </w:rPr>
      </w:pPr>
      <w:r w:rsidRPr="00440960">
        <w:rPr>
          <w:rFonts w:ascii="Arial" w:hAnsi="Arial" w:cs="Arial"/>
          <w:sz w:val="18"/>
          <w:szCs w:val="18"/>
        </w:rPr>
        <w:t>Διεύθυνση Θρησκευτικής Εκπ/σης</w:t>
      </w:r>
    </w:p>
    <w:p w:rsidR="0053721F" w:rsidRPr="00440960" w:rsidRDefault="0053721F" w:rsidP="0053721F">
      <w:pPr>
        <w:numPr>
          <w:ilvl w:val="0"/>
          <w:numId w:val="9"/>
        </w:numPr>
        <w:tabs>
          <w:tab w:val="left" w:pos="-142"/>
          <w:tab w:val="left" w:pos="284"/>
          <w:tab w:val="left" w:pos="567"/>
        </w:tabs>
        <w:spacing w:after="0" w:line="240" w:lineRule="auto"/>
        <w:ind w:left="-425" w:right="-360" w:firstLine="0"/>
        <w:jc w:val="both"/>
        <w:rPr>
          <w:rFonts w:ascii="Arial" w:hAnsi="Arial" w:cs="Arial"/>
          <w:sz w:val="18"/>
          <w:szCs w:val="18"/>
        </w:rPr>
      </w:pPr>
      <w:r w:rsidRPr="00440960">
        <w:rPr>
          <w:rFonts w:ascii="Arial" w:hAnsi="Arial" w:cs="Arial"/>
          <w:sz w:val="18"/>
          <w:szCs w:val="18"/>
        </w:rPr>
        <w:t>Δ/νση Ειδικής Αγωγής και Εκπ/σης</w:t>
      </w:r>
    </w:p>
    <w:p w:rsidR="0053721F" w:rsidRPr="00440960" w:rsidRDefault="0053721F" w:rsidP="0053721F">
      <w:pPr>
        <w:numPr>
          <w:ilvl w:val="0"/>
          <w:numId w:val="9"/>
        </w:numPr>
        <w:tabs>
          <w:tab w:val="left" w:pos="-142"/>
          <w:tab w:val="left" w:pos="284"/>
          <w:tab w:val="left" w:pos="567"/>
        </w:tabs>
        <w:spacing w:after="0" w:line="240" w:lineRule="auto"/>
        <w:ind w:left="-425" w:right="-360" w:firstLine="0"/>
        <w:jc w:val="both"/>
        <w:rPr>
          <w:rFonts w:ascii="Arial" w:hAnsi="Arial" w:cs="Arial"/>
          <w:sz w:val="18"/>
          <w:szCs w:val="18"/>
        </w:rPr>
      </w:pPr>
      <w:r w:rsidRPr="00440960">
        <w:rPr>
          <w:rFonts w:ascii="Arial" w:hAnsi="Arial" w:cs="Arial"/>
          <w:sz w:val="18"/>
          <w:szCs w:val="18"/>
        </w:rPr>
        <w:t xml:space="preserve">Διεύθυνση Εξετάσεων και Πιστοποιήσεων, Τμ. Α΄ </w:t>
      </w:r>
    </w:p>
    <w:p w:rsidR="00F341E0" w:rsidRPr="00440960" w:rsidRDefault="00F341E0" w:rsidP="0053721F">
      <w:pPr>
        <w:tabs>
          <w:tab w:val="left" w:pos="-142"/>
          <w:tab w:val="left" w:pos="284"/>
          <w:tab w:val="left" w:pos="567"/>
        </w:tabs>
        <w:spacing w:after="0" w:line="276" w:lineRule="auto"/>
        <w:ind w:left="284" w:right="-360"/>
        <w:jc w:val="both"/>
        <w:rPr>
          <w:rFonts w:ascii="Arial" w:hAnsi="Arial" w:cs="Arial"/>
          <w:sz w:val="18"/>
          <w:szCs w:val="18"/>
        </w:rPr>
      </w:pPr>
    </w:p>
    <w:sectPr w:rsidR="00F341E0" w:rsidRPr="00440960" w:rsidSect="00452AEB">
      <w:footerReference w:type="default" r:id="rId11"/>
      <w:pgSz w:w="11906" w:h="16838"/>
      <w:pgMar w:top="1440" w:right="1133" w:bottom="1440" w:left="1800" w:header="708" w:footer="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640" w:rsidRDefault="003A3640" w:rsidP="00452AEB">
      <w:pPr>
        <w:spacing w:after="0" w:line="240" w:lineRule="auto"/>
      </w:pPr>
      <w:r>
        <w:separator/>
      </w:r>
    </w:p>
  </w:endnote>
  <w:endnote w:type="continuationSeparator" w:id="0">
    <w:p w:rsidR="003A3640" w:rsidRDefault="003A3640" w:rsidP="00452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E32" w:rsidRPr="00452AEB" w:rsidRDefault="00792871" w:rsidP="0053721F">
    <w:pPr>
      <w:pStyle w:val="a8"/>
      <w:tabs>
        <w:tab w:val="clear" w:pos="8306"/>
        <w:tab w:val="right" w:pos="9214"/>
      </w:tabs>
      <w:ind w:right="-383"/>
      <w:jc w:val="right"/>
      <w:rPr>
        <w:sz w:val="18"/>
        <w:szCs w:val="18"/>
      </w:rPr>
    </w:pPr>
    <w:r w:rsidRPr="00452AEB">
      <w:rPr>
        <w:sz w:val="18"/>
        <w:szCs w:val="18"/>
      </w:rPr>
      <w:fldChar w:fldCharType="begin"/>
    </w:r>
    <w:r w:rsidR="00631E32" w:rsidRPr="00452AEB">
      <w:rPr>
        <w:sz w:val="18"/>
        <w:szCs w:val="18"/>
      </w:rPr>
      <w:instrText xml:space="preserve"> PAGE   \* MERGEFORMAT </w:instrText>
    </w:r>
    <w:r w:rsidRPr="00452AEB">
      <w:rPr>
        <w:sz w:val="18"/>
        <w:szCs w:val="18"/>
      </w:rPr>
      <w:fldChar w:fldCharType="separate"/>
    </w:r>
    <w:r w:rsidR="00487A5D">
      <w:rPr>
        <w:noProof/>
        <w:sz w:val="18"/>
        <w:szCs w:val="18"/>
      </w:rPr>
      <w:t>3</w:t>
    </w:r>
    <w:r w:rsidRPr="00452AEB">
      <w:rPr>
        <w:sz w:val="18"/>
        <w:szCs w:val="18"/>
      </w:rPr>
      <w:fldChar w:fldCharType="end"/>
    </w:r>
  </w:p>
  <w:p w:rsidR="00631E32" w:rsidRDefault="00631E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640" w:rsidRDefault="003A3640" w:rsidP="00452AEB">
      <w:pPr>
        <w:spacing w:after="0" w:line="240" w:lineRule="auto"/>
      </w:pPr>
      <w:r>
        <w:separator/>
      </w:r>
    </w:p>
  </w:footnote>
  <w:footnote w:type="continuationSeparator" w:id="0">
    <w:p w:rsidR="003A3640" w:rsidRDefault="003A3640" w:rsidP="00452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3219A"/>
    <w:multiLevelType w:val="hybridMultilevel"/>
    <w:tmpl w:val="9686FE8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0F2062"/>
    <w:multiLevelType w:val="hybridMultilevel"/>
    <w:tmpl w:val="22DCBA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17BEA"/>
    <w:multiLevelType w:val="hybridMultilevel"/>
    <w:tmpl w:val="38161826"/>
    <w:lvl w:ilvl="0" w:tplc="0408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894059"/>
    <w:multiLevelType w:val="hybridMultilevel"/>
    <w:tmpl w:val="903E0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37E66"/>
    <w:multiLevelType w:val="hybridMultilevel"/>
    <w:tmpl w:val="D36C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C1A1D"/>
    <w:multiLevelType w:val="hybridMultilevel"/>
    <w:tmpl w:val="10FE5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A53B1F"/>
    <w:multiLevelType w:val="hybridMultilevel"/>
    <w:tmpl w:val="E9168502"/>
    <w:lvl w:ilvl="0" w:tplc="35DA6D9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702D8"/>
    <w:multiLevelType w:val="hybridMultilevel"/>
    <w:tmpl w:val="B170AE2E"/>
    <w:lvl w:ilvl="0" w:tplc="51A48D06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8011C"/>
    <w:multiLevelType w:val="hybridMultilevel"/>
    <w:tmpl w:val="8E1EB1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D9097D"/>
    <w:multiLevelType w:val="hybridMultilevel"/>
    <w:tmpl w:val="A888EF46"/>
    <w:lvl w:ilvl="0" w:tplc="1854B49E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BA659D"/>
    <w:multiLevelType w:val="hybridMultilevel"/>
    <w:tmpl w:val="0332EAA2"/>
    <w:lvl w:ilvl="0" w:tplc="0408000D">
      <w:start w:val="1"/>
      <w:numFmt w:val="bullet"/>
      <w:lvlText w:val=""/>
      <w:lvlJc w:val="left"/>
      <w:pPr>
        <w:ind w:left="141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6035197C"/>
    <w:multiLevelType w:val="hybridMultilevel"/>
    <w:tmpl w:val="6F9C2C8E"/>
    <w:lvl w:ilvl="0" w:tplc="8D72B620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8B480D"/>
    <w:multiLevelType w:val="hybridMultilevel"/>
    <w:tmpl w:val="DDAA5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71CBE"/>
    <w:multiLevelType w:val="hybridMultilevel"/>
    <w:tmpl w:val="CDC8EB5A"/>
    <w:lvl w:ilvl="0" w:tplc="E9DEB148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6240C9"/>
    <w:multiLevelType w:val="hybridMultilevel"/>
    <w:tmpl w:val="255A5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4"/>
  </w:num>
  <w:num w:numId="9">
    <w:abstractNumId w:val="8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B2"/>
    <w:rsid w:val="00004F69"/>
    <w:rsid w:val="000A7BEF"/>
    <w:rsid w:val="00113563"/>
    <w:rsid w:val="001654E6"/>
    <w:rsid w:val="0016734A"/>
    <w:rsid w:val="00211153"/>
    <w:rsid w:val="00217847"/>
    <w:rsid w:val="002C2522"/>
    <w:rsid w:val="002D4EF5"/>
    <w:rsid w:val="002E042C"/>
    <w:rsid w:val="002E2BB6"/>
    <w:rsid w:val="003346AF"/>
    <w:rsid w:val="00390D4F"/>
    <w:rsid w:val="003A3640"/>
    <w:rsid w:val="0041176D"/>
    <w:rsid w:val="00440960"/>
    <w:rsid w:val="00440B55"/>
    <w:rsid w:val="004443C2"/>
    <w:rsid w:val="00452AEB"/>
    <w:rsid w:val="00464F42"/>
    <w:rsid w:val="00473B5B"/>
    <w:rsid w:val="0047675C"/>
    <w:rsid w:val="00487A5D"/>
    <w:rsid w:val="00492DBF"/>
    <w:rsid w:val="004C61D0"/>
    <w:rsid w:val="0053721F"/>
    <w:rsid w:val="00543EE4"/>
    <w:rsid w:val="00544137"/>
    <w:rsid w:val="005463E8"/>
    <w:rsid w:val="005566C0"/>
    <w:rsid w:val="0056614A"/>
    <w:rsid w:val="0057010F"/>
    <w:rsid w:val="00573AF5"/>
    <w:rsid w:val="00583C4F"/>
    <w:rsid w:val="005907BC"/>
    <w:rsid w:val="005F731E"/>
    <w:rsid w:val="00631E32"/>
    <w:rsid w:val="00653CE4"/>
    <w:rsid w:val="006B52D6"/>
    <w:rsid w:val="00792871"/>
    <w:rsid w:val="007D26B8"/>
    <w:rsid w:val="007F02D9"/>
    <w:rsid w:val="007F24B8"/>
    <w:rsid w:val="0086746B"/>
    <w:rsid w:val="008B0D12"/>
    <w:rsid w:val="008C646E"/>
    <w:rsid w:val="00964E17"/>
    <w:rsid w:val="00990F19"/>
    <w:rsid w:val="009D4584"/>
    <w:rsid w:val="00A41160"/>
    <w:rsid w:val="00AF25F5"/>
    <w:rsid w:val="00B2120F"/>
    <w:rsid w:val="00B43687"/>
    <w:rsid w:val="00B7637E"/>
    <w:rsid w:val="00BA31FF"/>
    <w:rsid w:val="00BE6CAE"/>
    <w:rsid w:val="00BE7714"/>
    <w:rsid w:val="00C02B8F"/>
    <w:rsid w:val="00C16D36"/>
    <w:rsid w:val="00C31976"/>
    <w:rsid w:val="00C6260B"/>
    <w:rsid w:val="00C7080C"/>
    <w:rsid w:val="00CB6D9B"/>
    <w:rsid w:val="00CE04B2"/>
    <w:rsid w:val="00D1368A"/>
    <w:rsid w:val="00D20270"/>
    <w:rsid w:val="00D913F8"/>
    <w:rsid w:val="00D91E4D"/>
    <w:rsid w:val="00DA6EC5"/>
    <w:rsid w:val="00DD222A"/>
    <w:rsid w:val="00E117F3"/>
    <w:rsid w:val="00E86968"/>
    <w:rsid w:val="00EB7597"/>
    <w:rsid w:val="00F03DDD"/>
    <w:rsid w:val="00F341E0"/>
    <w:rsid w:val="00F61F1E"/>
    <w:rsid w:val="00F92552"/>
    <w:rsid w:val="00F931A5"/>
    <w:rsid w:val="00FA5F85"/>
    <w:rsid w:val="00FD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42"/>
    <w:pPr>
      <w:spacing w:after="160" w:line="259" w:lineRule="auto"/>
    </w:pPr>
    <w:rPr>
      <w:sz w:val="22"/>
      <w:szCs w:val="22"/>
      <w:lang w:eastAsia="en-US"/>
    </w:rPr>
  </w:style>
  <w:style w:type="paragraph" w:styleId="8">
    <w:name w:val="heading 8"/>
    <w:basedOn w:val="a"/>
    <w:next w:val="a"/>
    <w:link w:val="8Char"/>
    <w:qFormat/>
    <w:rsid w:val="00DA6EC5"/>
    <w:pPr>
      <w:spacing w:before="240" w:after="60" w:line="276" w:lineRule="auto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E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2BB6"/>
    <w:rPr>
      <w:rFonts w:ascii="Tahoma" w:hAnsi="Tahoma" w:cs="Tahoma"/>
      <w:sz w:val="16"/>
      <w:szCs w:val="16"/>
    </w:rPr>
  </w:style>
  <w:style w:type="character" w:styleId="-">
    <w:name w:val="Hyperlink"/>
    <w:basedOn w:val="a0"/>
    <w:unhideWhenUsed/>
    <w:rsid w:val="00F341E0"/>
    <w:rPr>
      <w:color w:val="0000FF"/>
      <w:u w:val="single"/>
    </w:rPr>
  </w:style>
  <w:style w:type="paragraph" w:styleId="a4">
    <w:name w:val="annotation text"/>
    <w:basedOn w:val="a"/>
    <w:link w:val="Char0"/>
    <w:uiPriority w:val="99"/>
    <w:semiHidden/>
    <w:unhideWhenUsed/>
    <w:rsid w:val="00F341E0"/>
    <w:pPr>
      <w:spacing w:after="200" w:line="276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4"/>
    <w:uiPriority w:val="99"/>
    <w:semiHidden/>
    <w:rsid w:val="00F341E0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C6260B"/>
    <w:pPr>
      <w:widowControl w:val="0"/>
      <w:spacing w:after="0" w:line="240" w:lineRule="auto"/>
      <w:ind w:left="720"/>
      <w:contextualSpacing/>
    </w:pPr>
    <w:rPr>
      <w:rFonts w:ascii="Arial" w:eastAsia="Times New Roman" w:hAnsi="Arial"/>
      <w:sz w:val="16"/>
      <w:szCs w:val="20"/>
    </w:rPr>
  </w:style>
  <w:style w:type="paragraph" w:styleId="a6">
    <w:name w:val="No Spacing"/>
    <w:uiPriority w:val="1"/>
    <w:qFormat/>
    <w:rsid w:val="00C6260B"/>
    <w:rPr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DA6EC5"/>
    <w:rPr>
      <w:i/>
      <w:iCs/>
      <w:sz w:val="22"/>
      <w:szCs w:val="22"/>
      <w:lang w:eastAsia="en-US"/>
    </w:rPr>
  </w:style>
  <w:style w:type="paragraph" w:styleId="a7">
    <w:name w:val="header"/>
    <w:basedOn w:val="a"/>
    <w:link w:val="Char1"/>
    <w:uiPriority w:val="99"/>
    <w:semiHidden/>
    <w:unhideWhenUsed/>
    <w:rsid w:val="00452AEB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452AEB"/>
    <w:rPr>
      <w:sz w:val="22"/>
      <w:szCs w:val="22"/>
      <w:lang w:eastAsia="en-US"/>
    </w:rPr>
  </w:style>
  <w:style w:type="paragraph" w:styleId="a8">
    <w:name w:val="footer"/>
    <w:basedOn w:val="a"/>
    <w:link w:val="Char2"/>
    <w:uiPriority w:val="99"/>
    <w:unhideWhenUsed/>
    <w:rsid w:val="00452AEB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452AEB"/>
    <w:rPr>
      <w:sz w:val="22"/>
      <w:szCs w:val="22"/>
      <w:lang w:eastAsia="en-US"/>
    </w:rPr>
  </w:style>
  <w:style w:type="paragraph" w:customStyle="1" w:styleId="a9">
    <w:name w:val="Περιεχόμενα πίνακα"/>
    <w:basedOn w:val="a"/>
    <w:rsid w:val="00631E3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customStyle="1" w:styleId="pStyle11">
    <w:name w:val="pStyle11"/>
    <w:basedOn w:val="a"/>
    <w:rsid w:val="00631E32"/>
    <w:pPr>
      <w:spacing w:before="170" w:after="170" w:line="276" w:lineRule="auto"/>
      <w:ind w:firstLine="425"/>
      <w:jc w:val="both"/>
    </w:pPr>
    <w:rPr>
      <w:rFonts w:cs="Calibri"/>
      <w:sz w:val="24"/>
      <w:szCs w:val="24"/>
      <w:lang w:eastAsia="el-GR"/>
    </w:rPr>
  </w:style>
  <w:style w:type="table" w:styleId="aa">
    <w:name w:val="Table Grid"/>
    <w:basedOn w:val="a1"/>
    <w:uiPriority w:val="59"/>
    <w:rsid w:val="004C61D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deft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BDDFF7-6E47-475E-BC2F-280E5A68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1116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Links>
    <vt:vector size="6" baseType="variant"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Κατσούλη Ιωάννα</dc:creator>
  <cp:lastModifiedBy>kalodimos</cp:lastModifiedBy>
  <cp:revision>3</cp:revision>
  <dcterms:created xsi:type="dcterms:W3CDTF">2015-12-02T09:45:00Z</dcterms:created>
  <dcterms:modified xsi:type="dcterms:W3CDTF">2015-12-02T09:46:00Z</dcterms:modified>
</cp:coreProperties>
</file>